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Gestión de Alcance y Requerimientos en Scrum</w:t>
      </w:r>
    </w:p>
    <w:p>
      <w:pPr>
        <w:jc w:val="center"/>
      </w:pPr>
      <w:r>
        <w:rPr>
          <w:rFonts w:ascii="Arial" w:hAnsi="Arial"/>
          <w:color w:val="475569"/>
          <w:sz w:val="21"/>
        </w:rPr>
        <w:t>Product Goal, Product Backlog y trazabilidad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En Localito el alcance no es una lista inmóvil de entregables. El Product Goal orienta el resultado y el Product Backlog expresa el trabajo emergente.</w:t>
            </w:r>
          </w:p>
        </w:tc>
      </w:tr>
    </w:tbl>
    <w:p>
      <w:pPr>
        <w:pStyle w:val="Heading1"/>
      </w:pPr>
      <w:r>
        <w:t>1. Product Goal</w:t>
      </w:r>
    </w:p>
    <w:p>
      <w:r>
        <w:t>Desarrollar y evaluar una PWA multi-negocio que apoye la operación diaria de almacenes y minimarkets de barrio, integrando ventas, inventario, caja y fiado, con asistencia visual controlada y una experiencia móvil de baja fricción.</w:t>
      </w:r>
    </w:p>
    <w:p>
      <w:pPr>
        <w:pStyle w:val="Heading1"/>
      </w:pPr>
      <w:r>
        <w:t>2. Alcance verificable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03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Incluido</w:t>
            </w:r>
          </w:p>
        </w:tc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Simulado/Manual</w:t>
            </w:r>
          </w:p>
        </w:tc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Fuera de alcance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POS, inventario, caja, clientes, fiado, compras, reportes, auditoría, PWA/offline acotado, IA con revisión humana.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Pagos Webpay/Mercado Pago académicos y confirmación de pagos externos.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SII/DTE, cobros reales/webhooks, terminales físicos, e-commerce público, múltiples sucursales.</w:t>
            </w:r>
          </w:p>
        </w:tc>
      </w:tr>
    </w:tbl>
    <w:p>
      <w:pPr>
        <w:pStyle w:val="Heading1"/>
      </w:pPr>
      <w:r>
        <w:t>3. Gestión de requerimientos</w:t>
      </w:r>
    </w:p>
    <w:p>
      <w:pPr>
        <w:pStyle w:val="ListBullet"/>
      </w:pPr>
      <w:r>
        <w:t>Historias y PBIs describen necesidad y valor; criterios de aceptación hacen verificable la intención.</w:t>
      </w:r>
    </w:p>
    <w:p>
      <w:pPr>
        <w:pStyle w:val="ListBullet"/>
      </w:pPr>
      <w:r>
        <w:t>Bugs, tasks y spikes representan correcciones, deuda, investigación y trabajo técnico necesario.</w:t>
      </w:r>
    </w:p>
    <w:p>
      <w:pPr>
        <w:pStyle w:val="ListBullet"/>
      </w:pPr>
      <w:r>
        <w:t>Definition of Ready ayuda a evitar trabajo ambiguo; Definition of Done evita declarar terminado sin pruebas/evidencia.</w:t>
      </w:r>
    </w:p>
    <w:p>
      <w:pPr>
        <w:pStyle w:val="ListBullet"/>
      </w:pPr>
      <w:r>
        <w:t>Trazabilidad mínima: objetivo → requisito/PBI → criterio → componente/evidencia → prueba → estado.</w:t>
      </w:r>
    </w:p>
    <w:p>
      <w:pPr>
        <w:pStyle w:val="Heading1"/>
      </w:pPr>
      <w:r>
        <w:t>4. Cambios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066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stion_Cambios_Product_Back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6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i/>
          <w:color w:val="475569"/>
          <w:sz w:val="16"/>
        </w:rPr>
        <w:t>Figura 1. Cómo Localito absorbe cambios sin comité predictivo.</w:t>
      </w:r>
    </w:p>
    <w:p>
      <w:r>
        <w:t>Un cambio no requiere 'romper' una línea base ni emitir un formulario por defecto. El PO evalúa su relación con el Product Goal, valor, riesgo, dependencia y urgencia; luego el PBI se refina y ordena. El Sprint Goal se protege y no se inserta trabajo arbitrariamente en un Sprint activo.</w:t>
      </w:r>
    </w:p>
    <w:p>
      <w:pPr>
        <w:pStyle w:val="Heading1"/>
      </w:pPr>
      <w:r>
        <w:t>5. Criterio académico</w:t>
      </w:r>
    </w:p>
    <w:p>
      <w:r>
        <w:t>La documentación final debe distinguir alcance implementado, simulaciones y exclusiones. Una capacidad no se agrega a la tesis por aparecer en un backlog histórico: debe estar sustentada por el alcance vigente y evidencia técnica.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PROYECTOS INFORMÁTICOS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