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Planificación Temporal Agile</w:t>
      </w:r>
    </w:p>
    <w:p>
      <w:pPr>
        <w:jc w:val="center"/>
      </w:pPr>
      <w:r>
        <w:rPr>
          <w:rFonts w:ascii="Arial" w:hAnsi="Arial"/>
          <w:color w:val="475569"/>
          <w:sz w:val="21"/>
        </w:rPr>
        <w:t>Roadmap, Release Plan y 8 Sprints oficiales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Las fechas académicas son restricciones reales. La adaptación consiste en organizar el trabajo por Sprints y objetivos, no en dirigir el proyecto desde un Gantt rígido.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9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admap_8_Sprint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6"/>
        </w:rPr>
        <w:t>Figura 1. Roadmap oficial del proyecto.</w:t>
      </w:r>
    </w:p>
    <w:p>
      <w:pPr>
        <w:pStyle w:val="Heading1"/>
      </w:pPr>
      <w:r>
        <w:t>1.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59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Fechas</w:t>
            </w:r>
          </w:p>
        </w:tc>
        <w:tc>
          <w:tcPr>
            <w:tcW w:type="dxa" w:w="67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Objetivo dominante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S1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10–23 ago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Base SaaS, identidad, catálogo.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S2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24 ago–6 sep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Inventario, compras y núcleo transaccional.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S3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7–20 sep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Clientes, fiado y caja.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S4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21 sep–4 oct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IA asistida, pagos controlados y métricas.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S5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5–18 oct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PWA/offline y calidad operacional.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S6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19 oct–1 nov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Planes, permisos y experiencia SaaS.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S7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2–15 nov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Cerrar brechas y hardening académico.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S8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16–29 nov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Validación técnica y evidencia verificable.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Cierre académico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30 nov–6 dic</w:t>
            </w:r>
          </w:p>
        </w:tc>
        <w:tc>
          <w:tcPr>
            <w:tcW w:type="dxa" w:w="67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Consolidación, demo, defensa y fixes críticos; no scope nuevo.</w:t>
            </w:r>
          </w:p>
        </w:tc>
      </w:tr>
    </w:tbl>
    <w:p>
      <w:pPr>
        <w:pStyle w:val="Heading1"/>
      </w:pPr>
      <w:r>
        <w:t>2. Planificación</w:t>
      </w:r>
    </w:p>
    <w:p>
      <w:pPr>
        <w:pStyle w:val="ListBullet"/>
      </w:pPr>
      <w:r>
        <w:t>Sprint Planning toma el Product Backlog ordenado y la capacidad real del equipo.</w:t>
      </w:r>
    </w:p>
    <w:p>
      <w:pPr>
        <w:pStyle w:val="ListBullet"/>
      </w:pPr>
      <w:r>
        <w:t>El Sprint Goal da coherencia al conjunto de PBIs seleccionados.</w:t>
      </w:r>
    </w:p>
    <w:p>
      <w:pPr>
        <w:pStyle w:val="ListBullet"/>
      </w:pPr>
      <w:r>
        <w:t>Dependencias se hacen visibles en refinement; si amenazan el objetivo, se adelantan Spikes/Tasks.</w:t>
      </w:r>
    </w:p>
    <w:p>
      <w:pPr>
        <w:pStyle w:val="ListBullet"/>
      </w:pPr>
      <w:r>
        <w:t>Roadmap y Release Plan comunican dirección sin prometer cada detalle con meses de anticipación.</w:t>
      </w:r>
    </w:p>
    <w:p>
      <w:pPr>
        <w:pStyle w:val="Heading1"/>
      </w:pPr>
      <w:r>
        <w:t>3. Seguimiento temporal</w:t>
      </w:r>
    </w:p>
    <w:p>
      <w:r>
        <w:t>El indicador principal no es porcentaje de un plan maestro, sino la viabilidad del Sprint Goal, la entrega de incrementos Done y la capacidad de llegar al cierre académico con los riesgos críticos tratados. Si una funcionalidad compite con evidencia de tesis o estabilidad de demo, el PO puede reordenarla o sacarla del horizonte.</w:t>
      </w:r>
    </w:p>
    <w:p>
      <w:pPr>
        <w:pStyle w:val="Heading1"/>
      </w:pPr>
      <w:r>
        <w:t>4. Cierre</w:t>
      </w:r>
    </w:p>
    <w:p>
      <w:r>
        <w:t>La semana 30 de noviembre a 6 de diciembre es cierre académico, no Sprint. Solo consolida documentación/evidencia, prepara la defensa y permite correcciones críticas de demostración; no debe abrir nuevo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