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Adquisiciones, Proveedores y Dependencias</w:t>
      </w:r>
    </w:p>
    <w:p>
      <w:pPr>
        <w:jc w:val="center"/>
      </w:pPr>
      <w:r>
        <w:rPr>
          <w:rFonts w:ascii="Arial" w:hAnsi="Arial"/>
          <w:color w:val="475569"/>
          <w:sz w:val="21"/>
        </w:rPr>
        <w:t>Terceros sin contratos ficticios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En un proyecto académico, 'gestión de adquisiciones' no obliga a inventar licitaciones o contratos. Se documentan decisiones de proveedor, dependencia, fallback y trigger de revisión.</w:t>
            </w:r>
          </w:p>
        </w:tc>
      </w:tr>
    </w:tbl>
    <w:p>
      <w:pPr>
        <w:pStyle w:val="Heading1"/>
      </w:pPr>
      <w:r>
        <w:t>1. Proveedores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Proveedor/capacidad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187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Dependencia</w:t>
            </w:r>
          </w:p>
        </w:tc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Fallback / tratamiento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Vercel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Despliegue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 para demo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Checklist, entorno local y recuperación.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Supabase/PostgreSQL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Persistencia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BD de integración/local para pruebas; backup/restore.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Groq/OpenAI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IA visual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Proveedor alternativo y flujo manual.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Gmail/Resend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Correo recovery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Proveedor alternativo y diagnóstico health.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GitHub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Código/CI</w:t>
            </w:r>
          </w:p>
        </w:tc>
        <w:tc>
          <w:tcPr>
            <w:tcW w:type="dxa" w:w="18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Clones locales y documentación.</w:t>
            </w:r>
          </w:p>
        </w:tc>
      </w:tr>
    </w:tbl>
    <w:p>
      <w:pPr>
        <w:pStyle w:val="Heading1"/>
      </w:pPr>
      <w:r>
        <w:t>2. Criterios de selección</w:t>
      </w:r>
    </w:p>
    <w:p>
      <w:pPr>
        <w:pStyle w:val="ListBullet"/>
      </w:pPr>
      <w:r>
        <w:t>Compatibilidad técnica con la arquitectura.</w:t>
      </w:r>
    </w:p>
    <w:p>
      <w:pPr>
        <w:pStyle w:val="ListBullet"/>
      </w:pPr>
      <w:r>
        <w:t>Costo/cuota y facilidad de operar un piloto académico.</w:t>
      </w:r>
    </w:p>
    <w:p>
      <w:pPr>
        <w:pStyle w:val="ListBullet"/>
      </w:pPr>
      <w:r>
        <w:t>Seguridad y posibilidad de mantener secretos server-side.</w:t>
      </w:r>
    </w:p>
    <w:p>
      <w:pPr>
        <w:pStyle w:val="ListBullet"/>
      </w:pPr>
      <w:r>
        <w:t>Disponibilidad de fallback o sustitución.</w:t>
      </w:r>
    </w:p>
    <w:p>
      <w:pPr>
        <w:pStyle w:val="ListBullet"/>
      </w:pPr>
      <w:r>
        <w:t>Capacidad de probar la integración sin afirmar contratos inexistentes.</w:t>
      </w:r>
    </w:p>
    <w:p>
      <w:pPr>
        <w:pStyle w:val="Heading1"/>
      </w:pPr>
      <w:r>
        <w:t>3. Proveedores futuros</w:t>
      </w:r>
    </w:p>
    <w:p>
      <w:r>
        <w:t>DTE/SII y pasarelas de pago reales se mantienen fuera del alcance de tesis. Solo deberían pasar a adquisición/implementación cuando la validación comercial demuestre necesidad y exista una decisión explícita de evolución post-tesis.</w:t>
      </w:r>
    </w:p>
    <w:p>
      <w:pPr>
        <w:pStyle w:val="Heading1"/>
      </w:pPr>
      <w:r>
        <w:t>4. Dependencias como backlog</w:t>
      </w:r>
    </w:p>
    <w:p>
      <w:r>
        <w:t>Cuando una dependencia amenaza un Sprint Goal o la demo, el equipo crea trabajo visible: Spike para investigar, Task para configurar/migrar, Bug para corregir o criterio de aceptación para asegurar comportamiento.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