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Gestión de Riesgos dentro de Scrum</w:t>
      </w:r>
    </w:p>
    <w:p>
      <w:pPr>
        <w:jc w:val="center"/>
      </w:pPr>
      <w:r>
        <w:rPr>
          <w:rFonts w:ascii="Arial" w:hAnsi="Arial"/>
          <w:color w:val="475569"/>
          <w:sz w:val="21"/>
        </w:rPr>
        <w:t>Metodología adaptativa para Localito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El riesgo no se gestiona como un documento paralelo al proyecto. Una señal relevante debe traducirse en una decisión de Product Backlog, criterio de aceptación, prueba, Task o Bug y volver a revisarse con evidencia.</w:t>
            </w:r>
          </w:p>
        </w:tc>
      </w:tr>
    </w:tbl>
    <w:p>
      <w:pPr>
        <w:pStyle w:val="Heading1"/>
      </w:pPr>
      <w:r>
        <w:t>1. Objetivo</w:t>
      </w:r>
    </w:p>
    <w:p>
      <w:r>
        <w:t>Identificar, priorizar y responder oportunamente a amenazas que puedan afectar el Product Goal, la integridad del producto, la defensa académica o la futura viabilidad comercial de Localito.</w:t>
      </w:r>
    </w:p>
    <w:p>
      <w:pPr>
        <w:pStyle w:val="Heading1"/>
      </w:pPr>
      <w:r>
        <w:t>2. Marco de trabajo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304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iclo_Riesgo_Scru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30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475569"/>
          <w:sz w:val="17"/>
        </w:rPr>
        <w:t>Figura 1. Ciclo de gestión de riesgos integrado a Scrum.</w:t>
      </w:r>
    </w:p>
    <w:p>
      <w:r>
        <w:t>La asignatura trabajó identificación, RBS, análisis cualitativo, respuesta, seguimiento y técnicas cuantitativas. En Localito se conservan esas disciplinas, pero la ejecución se integra a Scrum: el PO prioriza valor y riesgo, el equipo incorpora mitigaciones al backlog y la evidencia se revisa dentro de los Sprints.</w:t>
      </w:r>
    </w:p>
    <w:p>
      <w:pPr>
        <w:pStyle w:val="Heading1"/>
      </w:pPr>
      <w:r>
        <w:t>3. Accountabilities y responsabilidades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Accountability / equipo</w:t>
            </w:r>
          </w:p>
        </w:tc>
        <w:tc>
          <w:tcPr>
            <w:tcW w:type="dxa" w:w="7488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Responsabilidad de riesgo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Product Owner</w:t>
            </w:r>
          </w:p>
        </w:tc>
        <w:tc>
          <w:tcPr>
            <w:tcW w:type="dxa" w:w="74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Prioriza respuestas cuando un riesgo afecta valor, alcance, precio, adopción o roadmap.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Scrum Master</w:t>
            </w:r>
          </w:p>
        </w:tc>
        <w:tc>
          <w:tcPr>
            <w:tcW w:type="dxa" w:w="74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Facilita visibilidad de impedimentos y riesgos; no actúa como gerente de proyecto.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Developers</w:t>
            </w:r>
          </w:p>
        </w:tc>
        <w:tc>
          <w:tcPr>
            <w:tcW w:type="dxa" w:w="74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Identifican, previenen y verifican riesgos técnicos, seguridad, persistencia e integraciones.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Scrum Team</w:t>
            </w:r>
          </w:p>
        </w:tc>
        <w:tc>
          <w:tcPr>
            <w:tcW w:type="dxa" w:w="74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Reevalúa exposición, acepta riesgos residuales y adapta el backlog.</w:t>
            </w:r>
          </w:p>
        </w:tc>
      </w:tr>
    </w:tbl>
    <w:p>
      <w:pPr>
        <w:pStyle w:val="Heading1"/>
      </w:pPr>
      <w:r>
        <w:t>4. Tolerancia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744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2016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Tolerancia</w:t>
            </w:r>
          </w:p>
        </w:tc>
        <w:tc>
          <w:tcPr>
            <w:tcW w:type="dxa" w:w="4896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Criterio</w:t>
            </w:r>
          </w:p>
        </w:tc>
      </w:tr>
      <w:tr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Aislamiento multi-tenant / secretos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Muy baja o cero</w:t>
            </w:r>
          </w:p>
        </w:tc>
        <w:tc>
          <w:tcPr>
            <w:tcW w:type="dxa" w:w="48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No se acepta exposición de datos o credenciales activas.</w:t>
            </w:r>
          </w:p>
        </w:tc>
      </w:tr>
      <w:tr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Integridad de venta/caja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Baja</w:t>
            </w:r>
          </w:p>
        </w:tc>
        <w:tc>
          <w:tcPr>
            <w:tcW w:type="dxa" w:w="48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Duplicidad o inconsistencia transaccional debe priorizarse.</w:t>
            </w:r>
          </w:p>
        </w:tc>
      </w:tr>
      <w:tr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Demo / validación académica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Baja</w:t>
            </w:r>
          </w:p>
        </w:tc>
        <w:tc>
          <w:tcPr>
            <w:tcW w:type="dxa" w:w="48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Riesgos que pueden bloquear defensa requieren evidencia de cierre.</w:t>
            </w:r>
          </w:p>
        </w:tc>
      </w:tr>
      <w:tr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Dependencias externas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Media</w:t>
            </w:r>
          </w:p>
        </w:tc>
        <w:tc>
          <w:tcPr>
            <w:tcW w:type="dxa" w:w="48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Se acepta degradación si existe fallback y el núcleo sigue disponible.</w:t>
            </w:r>
          </w:p>
        </w:tc>
      </w:tr>
      <w:tr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Mejoras estéticas no críticas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Media/alta</w:t>
            </w:r>
          </w:p>
        </w:tc>
        <w:tc>
          <w:tcPr>
            <w:tcW w:type="dxa" w:w="48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Pueden diferirse si no afectan tarea, accesibilidad o demo.</w:t>
            </w:r>
          </w:p>
        </w:tc>
      </w:tr>
    </w:tbl>
    <w:p>
      <w:pPr>
        <w:pStyle w:val="Heading1"/>
      </w:pPr>
      <w:r>
        <w:t>5. Frecuencia de revisión</w:t>
      </w:r>
    </w:p>
    <w:p>
      <w:pPr>
        <w:pStyle w:val="ListBullet"/>
      </w:pPr>
      <w:r>
        <w:t>Durante refinamiento: identificar riesgos nuevos o cambios de exposición.</w:t>
      </w:r>
    </w:p>
    <w:p>
      <w:pPr>
        <w:pStyle w:val="ListBullet"/>
      </w:pPr>
      <w:r>
        <w:t>Sprint Planning: decidir qué respuestas consumen capacidad del Sprint.</w:t>
      </w:r>
    </w:p>
    <w:p>
      <w:pPr>
        <w:pStyle w:val="ListBullet"/>
      </w:pPr>
      <w:r>
        <w:t>Daily Scrum: tratar impedimentos materializados; no convertir la Daily en una reunión formal de riesgos.</w:t>
      </w:r>
    </w:p>
    <w:p>
      <w:pPr>
        <w:pStyle w:val="ListBullet"/>
      </w:pPr>
      <w:r>
        <w:t>Sprint Review: contrastar riesgo con evidencia del incremento.</w:t>
      </w:r>
    </w:p>
    <w:p>
      <w:pPr>
        <w:pStyle w:val="ListBullet"/>
      </w:pPr>
      <w:r>
        <w:t>Retrospectiva: incorporar aprendizajes cuando un riesgo se materializa o una respuesta falla.</w:t>
      </w:r>
    </w:p>
    <w:p>
      <w:pPr>
        <w:pStyle w:val="Heading1"/>
      </w:pPr>
      <w:r>
        <w:t>Fuentes base</w:t>
      </w:r>
    </w:p>
    <w:p>
      <w:pPr>
        <w:pStyle w:val="ListBullet"/>
      </w:pPr>
      <w:r>
        <w:t>Material de la asignatura Gestión de Riesgos: Plan de Gestión de Riesgos EV2, Evaluación 2 de Gestión de Riesgos e informe Evaluacion_GDR.</w:t>
      </w:r>
    </w:p>
    <w:p>
      <w:pPr>
        <w:pStyle w:val="ListBullet"/>
      </w:pPr>
      <w:r>
        <w:t>Repositorio LocalitoSaaS: Estado-Actual.md, Alcance-Tesis.md, documentación de arquitectura, pruebas y backlog.</w:t>
      </w:r>
    </w:p>
    <w:p>
      <w:pPr>
        <w:pStyle w:val="ListBullet"/>
      </w:pPr>
      <w:r>
        <w:t>Estudio de mercado y evaluación económica de Localito elaborados en los bloques anteriores.</w:t>
      </w:r>
    </w:p>
    <w:p>
      <w:pPr>
        <w:pStyle w:val="ListBullet"/>
      </w:pPr>
      <w:r>
        <w:t>Los niveles de probabilidad e impacto actuales son una evaluación documental del equipo; no representan frecuencias históricas observadas.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GESTIÓN DE RIESGOS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4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