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Respuestas, Contingencia y Product Backlog</w:t>
      </w:r>
    </w:p>
    <w:p>
      <w:pPr>
        <w:jc w:val="center"/>
      </w:pPr>
      <w:r>
        <w:rPr>
          <w:rFonts w:ascii="Arial" w:hAnsi="Arial"/>
          <w:color w:val="475569"/>
          <w:sz w:val="21"/>
        </w:rPr>
        <w:t>Cómo se convierte un riesgo en trabajo verificable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Una mitigación que no tiene owner, trigger ni evidencia de cierre no es una respuesta operable. Por eso las respuestas críticas se conectan directamente con el backlog.</w:t>
            </w:r>
          </w:p>
        </w:tc>
      </w:tr>
    </w:tbl>
    <w:p>
      <w:pPr>
        <w:pStyle w:val="Heading1"/>
      </w:pPr>
      <w:r>
        <w:t>1. Estrategias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Estrategia</w:t>
            </w:r>
          </w:p>
        </w:tc>
        <w:tc>
          <w:tcPr>
            <w:tcW w:type="dxa" w:w="518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Uso en Localito</w:t>
            </w:r>
          </w:p>
        </w:tc>
        <w:tc>
          <w:tcPr>
            <w:tcW w:type="dxa" w:w="34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Evitar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Eliminar la condición que crea el riesgo.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Rotar secretos históricos; no llevar credenciales al cliente.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Mitigar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Reducir probabilidad o impacto.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Pruebas concurrentes, fallback IA, confirmación humana.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Aceptar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Conservar el riesgo porque está fuera del Product Goal actual.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DTE fuera de la tesis, manteniéndolo como roadmap.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Transferir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Mover parte del impacto a proveedor especializado.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Posible integración futura con proveedor DTE/pagos autorizado.</w:t>
            </w:r>
          </w:p>
        </w:tc>
      </w:tr>
    </w:tbl>
    <w:p>
      <w:pPr>
        <w:pStyle w:val="Heading1"/>
      </w:pPr>
      <w:r>
        <w:t>2. Respuestas críticas para Sprint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Respuesta / item</w:t>
            </w:r>
          </w:p>
        </w:tc>
        <w:tc>
          <w:tcPr>
            <w:tcW w:type="dxa" w:w="518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Rotación y revisión de secretos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Ninguna credencial activa coincide con material histórico; sin exponer valores.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Validación PostgreSQL concurrente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Reintentos e idempotencia sin duplicar venta/stock.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Cierre de caja concurrente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Resultado consistente con ventas simultáneas.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Validación PWA física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Instalación, cámara, venta y offline en dispositivos reales.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R-14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Pruebas con usuarios externos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Tareas, tiempos, errores y satisfacción registrados.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R-15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Regresión visual post-rediseño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Tamaños, temas, teclado y formularios revisados.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R-19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Backup y restore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Restauración de ambiente de prueba documentada.</w:t>
            </w:r>
          </w:p>
        </w:tc>
      </w:tr>
    </w:tbl>
    <w:p>
      <w:pPr>
        <w:pStyle w:val="Heading1"/>
      </w:pPr>
      <w:r>
        <w:t>3. Contingencias</w:t>
      </w:r>
    </w:p>
    <w:p>
      <w:pPr>
        <w:pStyle w:val="ListBullet"/>
      </w:pPr>
      <w:r>
        <w:t>IA caída o sin cuota: mantener búsqueda, código de barras y ticket tradicional; no bloquear el POS.</w:t>
      </w:r>
    </w:p>
    <w:p>
      <w:pPr>
        <w:pStyle w:val="ListBullet"/>
      </w:pPr>
      <w:r>
        <w:t>Cloud indisponible antes de demo: health check, datos de demo preparados y checklist de contingencia.</w:t>
      </w:r>
    </w:p>
    <w:p>
      <w:pPr>
        <w:pStyle w:val="ListBullet"/>
      </w:pPr>
      <w:r>
        <w:t>Venta offline rechazada: conservar ticket visible, explicar causa y evitar reemplazarlo silenciosamente por una venta nueva.</w:t>
      </w:r>
    </w:p>
    <w:p>
      <w:pPr>
        <w:pStyle w:val="ListBullet"/>
      </w:pPr>
      <w:r>
        <w:t>Dispositivo físico incompatible: documentar la limitación y no declarar compatibilidad no verificada.</w:t>
      </w:r>
    </w:p>
    <w:p>
      <w:pPr>
        <w:pStyle w:val="ListBullet"/>
      </w:pPr>
      <w:r>
        <w:t>Piloto exige DTE: registrar el bloqueo comercial y mover la decisión a roadmap, sin abrir scope de tesis automáticamente.</w:t>
      </w:r>
    </w:p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