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Estado de Riesgos y Cierre Académico</w:t>
      </w:r>
    </w:p>
    <w:p>
      <w:pPr>
        <w:jc w:val="center"/>
      </w:pPr>
      <w:r>
        <w:rPr>
          <w:rFonts w:ascii="Arial" w:hAnsi="Arial"/>
          <w:color w:val="475569"/>
          <w:sz w:val="21"/>
        </w:rPr>
        <w:t>Corte documental del proyecto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Este documento no afirma que los riesgos ya ocurrieron. Resume amenazas vigentes, controles existentes y validaciones pendientes a partir del estado actual del producto.</w:t>
            </w:r>
          </w:p>
        </w:tc>
      </w:tr>
    </w:tbl>
    <w:p>
      <w:pPr>
        <w:pStyle w:val="Heading1"/>
      </w:pPr>
      <w:r>
        <w:t>1. Estado general</w:t>
      </w:r>
    </w:p>
    <w:p>
      <w:r>
        <w:t>El Risk Backlog registra 20 riesgos: 8 clasificados como Altos y 12 como Medios mediante P×I. Algunos riesgos de seguridad tienen además un override de tolerancia, porque una probabilidad baja no vuelve aceptable una fuga de datos o la exposición de secretos.</w:t>
      </w:r>
    </w:p>
    <w:p>
      <w:pPr>
        <w:pStyle w:val="Heading1"/>
      </w:pPr>
      <w:r>
        <w:t>2. Riesgos que deben cerrarse antes de la defensa</w:t>
      </w:r>
    </w:p>
    <w:p>
      <w:pPr>
        <w:pStyle w:val="ListNumber"/>
      </w:pPr>
      <w:r>
        <w:t>Rotación/revisión de credenciales históricas.</w:t>
      </w:r>
    </w:p>
    <w:p>
      <w:pPr>
        <w:pStyle w:val="ListNumber"/>
      </w:pPr>
      <w:r>
        <w:t>Prueba de concurrencia e idempotencia en PostgreSQL.</w:t>
      </w:r>
    </w:p>
    <w:p>
      <w:pPr>
        <w:pStyle w:val="ListNumber"/>
      </w:pPr>
      <w:r>
        <w:t>Prueba de cierre de caja con ventas simultáneas.</w:t>
      </w:r>
    </w:p>
    <w:p>
      <w:pPr>
        <w:pStyle w:val="ListNumber"/>
      </w:pPr>
      <w:r>
        <w:t>Regresión visual completa posterior al rediseño.</w:t>
      </w:r>
    </w:p>
    <w:p>
      <w:pPr>
        <w:pStyle w:val="ListNumber"/>
      </w:pPr>
      <w:r>
        <w:t>Validación PWA en iPhone y Android físicos.</w:t>
      </w:r>
    </w:p>
    <w:p>
      <w:pPr>
        <w:pStyle w:val="ListNumber"/>
      </w:pPr>
      <w:r>
        <w:t>Validación con usuarios representativos.</w:t>
      </w:r>
    </w:p>
    <w:p>
      <w:pPr>
        <w:pStyle w:val="ListNumber"/>
      </w:pPr>
      <w:r>
        <w:t>Prueba de backup/restore en ambiente aislado.</w:t>
      </w:r>
    </w:p>
    <w:p>
      <w:pPr>
        <w:pStyle w:val="Heading1"/>
      </w:pPr>
      <w:r>
        <w:t>3. Riesgos aceptados o trasladados a roadmap</w:t>
      </w:r>
    </w:p>
    <w:p>
      <w:pPr>
        <w:pStyle w:val="ListBullet"/>
      </w:pPr>
      <w:r>
        <w:t>DTE/SII: aceptado fuera del alcance de tesis, pero crítico antes de comercialización masiva.</w:t>
      </w:r>
    </w:p>
    <w:p>
      <w:pPr>
        <w:pStyle w:val="ListBullet"/>
      </w:pPr>
      <w:r>
        <w:t>Pagos reales y suscripciones recurrentes: fuera del MVP académico.</w:t>
      </w:r>
    </w:p>
    <w:p>
      <w:pPr>
        <w:pStyle w:val="ListBullet"/>
      </w:pPr>
      <w:r>
        <w:t>Multi-sucursal: no debe incorporarse antes de cerrar validaciones del alcance vigente.</w:t>
      </w:r>
    </w:p>
    <w:p>
      <w:pPr>
        <w:pStyle w:val="ListBullet"/>
      </w:pPr>
      <w:r>
        <w:t>Object storage para imágenes: activarlo cuando el volumen real justifique la migración.</w:t>
      </w:r>
    </w:p>
    <w:p>
      <w:pPr>
        <w:pStyle w:val="Heading1"/>
      </w:pPr>
      <w:r>
        <w:t>4. Criterio de cierre del riesgo</w:t>
      </w:r>
    </w:p>
    <w:p>
      <w:r>
        <w:t>Un riesgo no se cierra por haber escrito una mitigación. Se cierra o reduce únicamente cuando existe evidencia del control, cambia objetivamente su exposición o el Scrum Team/PO acepta explícitamente el riesgo residual dentro del alcance.</w:t>
      </w:r>
    </w:p>
    <w:p>
      <w:pPr>
        <w:pStyle w:val="Heading1"/>
      </w:pPr>
      <w:r>
        <w:t>5. Mensaje para la defensa</w:t>
      </w:r>
    </w:p>
    <w:p>
      <w:r>
        <w:t>La fortaleza del bloque de riesgos no está en afirmar que Localito es infalible. Está en demostrar que el equipo conoce las principales amenazas técnicas, operacionales, académicas y comerciales, las prioriza con criterio y las convierte en trabajo verificable dentro del Product Backlog.</w:t>
      </w:r>
    </w:p>
    <w:p>
      <w:pPr>
        <w:pStyle w:val="Heading1"/>
      </w:pPr>
      <w:r>
        <w:t>Fuentes base</w:t>
      </w:r>
    </w:p>
    <w:p>
      <w:pPr>
        <w:pStyle w:val="ListBullet"/>
      </w:pPr>
      <w:r>
        <w:t>Material de la asignatura Gestión de Riesgos: Plan de Gestión de Riesgos EV2, Evaluación 2 de Gestión de Riesgos e informe Evaluacion_GDR.</w:t>
      </w:r>
    </w:p>
    <w:p>
      <w:pPr>
        <w:pStyle w:val="ListBullet"/>
      </w:pPr>
      <w:r>
        <w:t>Repositorio LocalitoSaaS: Estado-Actual.md, Alcance-Tesis.md, documentación de arquitectura, pruebas y backlog.</w:t>
      </w:r>
    </w:p>
    <w:p>
      <w:pPr>
        <w:pStyle w:val="ListBullet"/>
      </w:pPr>
      <w:r>
        <w:t>Estudio de mercado y evaluación económica de Localito elaborados en los bloques anteriores.</w:t>
      </w:r>
    </w:p>
    <w:p>
      <w:pPr>
        <w:pStyle w:val="ListBullet"/>
      </w:pPr>
      <w:r>
        <w:t>Los niveles de probabilidad e impacto actuales son una evaluación documental del equipo; no representan frecuencias históricas observadas.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