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Modelo de Negocio de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Business Model Canvas y supuestos críticos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El Business Model Canvas describe hipótesis de negocio. Que un bloque esté escrito no significa que esté validado.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3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siness_Model_Canvas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7"/>
        </w:rPr>
        <w:t>Figura 1. Business Model Canvas de Localito.</w:t>
      </w:r>
    </w:p>
    <w:p>
      <w:pPr>
        <w:pStyle w:val="Heading1"/>
      </w:pPr>
      <w:r>
        <w:t>1. Segmentos de clientes</w:t>
      </w:r>
    </w:p>
    <w:p>
      <w:r>
        <w:t>El segmento inicial son almacenes y minimarkets de barrio con uno o pocos puntos de venta. El dueño/a es el cliente económico principal y el vendedor/a es un usuario operacional relevante.</w:t>
      </w:r>
    </w:p>
    <w:p>
      <w:pPr>
        <w:pStyle w:val="Heading1"/>
      </w:pPr>
      <w:r>
        <w:t>2. Propuesta de valor</w:t>
      </w:r>
    </w:p>
    <w:p>
      <w:r>
        <w:t>Operación integrada desde el celular con baja fricción de adopción: ventas, stock, caja, fiado y compras, complementadas por asistencia visual que requiere confirmación humana.</w:t>
      </w:r>
    </w:p>
    <w:p>
      <w:pPr>
        <w:pStyle w:val="Heading1"/>
      </w:pPr>
      <w:r>
        <w:t>3. Canales y relación</w:t>
      </w:r>
    </w:p>
    <w:p>
      <w:pPr>
        <w:pStyle w:val="ListBullet"/>
      </w:pPr>
      <w:r>
        <w:t>Pilotos directos con comercios del segmento.</w:t>
      </w:r>
    </w:p>
    <w:p>
      <w:pPr>
        <w:pStyle w:val="ListBullet"/>
      </w:pPr>
      <w:r>
        <w:t>Referidos y demostraciones breves centradas en tareas reales.</w:t>
      </w:r>
    </w:p>
    <w:p>
      <w:pPr>
        <w:pStyle w:val="ListBullet"/>
      </w:pPr>
      <w:r>
        <w:t>Contenido digital como canal posterior, una vez exista evidencia de uso.</w:t>
      </w:r>
    </w:p>
    <w:p>
      <w:pPr>
        <w:pStyle w:val="ListBullet"/>
      </w:pPr>
      <w:r>
        <w:t>Trial Pro de 30 días y onboarding guiado en fase piloto.</w:t>
      </w:r>
    </w:p>
    <w:p>
      <w:pPr>
        <w:pStyle w:val="Heading1"/>
      </w:pPr>
      <w:r>
        <w:t>4. Ingresos</w:t>
      </w:r>
    </w:p>
    <w:p>
      <w:r>
        <w:t>La hipótesis actual utiliza Plan Básico de $10.000 CLP al mes y Plan Pro de $20.000 CLP al mes. Estos valores alimentan el modelo financiero de tesis, pero deben tratarse como hipótesis hasta validar disposición a pagar, packaging y relevancia de DTE.</w:t>
      </w:r>
    </w:p>
    <w:p>
      <w:pPr>
        <w:pStyle w:val="Heading1"/>
      </w:pPr>
      <w:r>
        <w:t>5. Recursos, actividades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80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Elementos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Recursos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PWA/API/BD, marca, conocimiento del dominio, documentación, proveedores cloud/IA/correo, evidencia de validación.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Actividades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Desarrollo, QA, onboarding, soporte, validación, seguridad, operación y adquisición.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Costos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Cloud/BD, IA/correo, soporte, desarrollo/QA, adquisición y operación.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Proveedores clave</w:t>
            </w:r>
          </w:p>
        </w:tc>
        <w:tc>
          <w:tcPr>
            <w:tcW w:type="dxa" w:w="80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Infraestructura, IA y correo; futuros DTE/pagos deben describirse como potenciales mientras no exista acuerdo.</w:t>
            </w:r>
          </w:p>
        </w:tc>
      </w:tr>
    </w:tbl>
    <w:p>
      <w:pPr>
        <w:pStyle w:val="Heading1"/>
      </w:pPr>
      <w:r>
        <w:t>6. Supuestos más riesgosos</w:t>
      </w:r>
    </w:p>
    <w:p>
      <w:pPr>
        <w:pStyle w:val="ListNumber"/>
      </w:pPr>
      <w:r>
        <w:t>El segmento percibe el problema con suficiente intensidad.</w:t>
      </w:r>
    </w:p>
    <w:p>
      <w:pPr>
        <w:pStyle w:val="ListNumber"/>
      </w:pPr>
      <w:r>
        <w:t>La experiencia móvil es realmente más fácil para el usuario objetivo.</w:t>
      </w:r>
    </w:p>
    <w:p>
      <w:pPr>
        <w:pStyle w:val="ListNumber"/>
      </w:pPr>
      <w:r>
        <w:t>La combinación fiado + mobile-first + apoyo visual tiene valor diferencial.</w:t>
      </w:r>
    </w:p>
    <w:p>
      <w:pPr>
        <w:pStyle w:val="ListNumber"/>
      </w:pPr>
      <w:r>
        <w:t>Existe disposición a pagar por Básico/Pro sin DTE integrado.</w:t>
      </w:r>
    </w:p>
    <w:p>
      <w:pPr>
        <w:pStyle w:val="ListNumber"/>
      </w:pPr>
      <w:r>
        <w:t>El soporte y onboarding pueden escalar sin destruir el margen.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