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Plan de Comunicación y Go-to-Market</w:t>
      </w:r>
    </w:p>
    <w:p>
      <w:pPr>
        <w:jc w:val="center"/>
      </w:pPr>
      <w:r>
        <w:rPr>
          <w:rFonts w:ascii="Arial" w:hAnsi="Arial"/>
          <w:color w:val="475569"/>
          <w:sz w:val="21"/>
        </w:rPr>
        <w:t>Adquisición inicial y aprendizaje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El plan comercial inicial debe optimizar aprendizaje, no volumen. Antes de comprar publicidad, Localito necesita descubrir qué mensaje, segmento y onboarding convierten.</w:t>
            </w:r>
          </w:p>
        </w:tc>
      </w:tr>
    </w:tbl>
    <w:p>
      <w:pPr>
        <w:pStyle w:val="Heading1"/>
      </w:pPr>
      <w:r>
        <w:t>1.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16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3456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360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Canal</w:t>
            </w:r>
          </w:p>
        </w:tc>
        <w:tc>
          <w:tcPr>
            <w:tcW w:type="dxa" w:w="244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Métrica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Descubrimiento</w:t>
            </w:r>
          </w:p>
        </w:tc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Conseguir entrevistas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Contacto directo / referidos</w:t>
            </w:r>
          </w:p>
        </w:tc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Aceptación de entrevista.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Demo</w:t>
            </w:r>
          </w:p>
        </w:tc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Observar tareas y objeciones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Demo móvil</w:t>
            </w:r>
          </w:p>
        </w:tc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Completitud, interés, barreras.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Piloto</w:t>
            </w:r>
          </w:p>
        </w:tc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Lograr uso real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Onboarding guiado</w:t>
            </w:r>
          </w:p>
        </w:tc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Activación y uso semanal.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Conversión</w:t>
            </w:r>
          </w:p>
        </w:tc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Validar pago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Fin de trial + conversación</w:t>
            </w:r>
          </w:p>
        </w:tc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Trial → pago.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Retención</w:t>
            </w:r>
          </w:p>
        </w:tc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Confirmar valor repetido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Seguimiento</w:t>
            </w:r>
          </w:p>
        </w:tc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Uso 30/60/90 días.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Referidos</w:t>
            </w:r>
          </w:p>
        </w:tc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Reducir costo de adquisición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Clientes satisfechos</w:t>
            </w:r>
          </w:p>
        </w:tc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Referidos por cliente.</w:t>
            </w:r>
          </w:p>
        </w:tc>
      </w:tr>
    </w:tbl>
    <w:p>
      <w:pPr>
        <w:pStyle w:val="Heading1"/>
      </w:pPr>
      <w:r>
        <w:t>2. Mensaje de comunicación</w:t>
      </w:r>
    </w:p>
    <w:p>
      <w:r>
        <w:t>Mensaje principal: “Ventas, stock, caja y fiado desde tu celular, sin obligarte a cambiar todo de golpe”. La IA debe aparecer como apoyo concreto —por ejemplo, Venta Rápida— y no como el eje abstracto de la campaña.</w:t>
      </w:r>
    </w:p>
    <w:p>
      <w:pPr>
        <w:pStyle w:val="Heading1"/>
      </w:pPr>
      <w:r>
        <w:t>3. Onboarding</w:t>
      </w:r>
    </w:p>
    <w:p>
      <w:pPr>
        <w:pStyle w:val="ListBullet"/>
      </w:pPr>
      <w:r>
        <w:t>Crear negocio y dueño.</w:t>
      </w:r>
    </w:p>
    <w:p>
      <w:pPr>
        <w:pStyle w:val="ListBullet"/>
      </w:pPr>
      <w:r>
        <w:t>Elegir carga inicial manual, CSV o factura asistida.</w:t>
      </w:r>
    </w:p>
    <w:p>
      <w:pPr>
        <w:pStyle w:val="ListBullet"/>
      </w:pPr>
      <w:r>
        <w:t>Configurar medios de pago y datos básicos.</w:t>
      </w:r>
    </w:p>
    <w:p>
      <w:pPr>
        <w:pStyle w:val="ListBullet"/>
      </w:pPr>
      <w:r>
        <w:t>Abrir caja y completar primera venta.</w:t>
      </w:r>
    </w:p>
    <w:p>
      <w:pPr>
        <w:pStyle w:val="ListBullet"/>
      </w:pPr>
      <w:r>
        <w:t>Registrar un cliente/fiado si corresponde.</w:t>
      </w:r>
    </w:p>
    <w:p>
      <w:pPr>
        <w:pStyle w:val="ListBullet"/>
      </w:pPr>
      <w:r>
        <w:t>Revisar stock y reporte simple.</w:t>
      </w:r>
    </w:p>
    <w:p>
      <w:pPr>
        <w:pStyle w:val="Heading1"/>
      </w:pPr>
      <w:r>
        <w:t>4. Métricas</w:t>
      </w:r>
    </w:p>
    <w:p>
      <w:r>
        <w:t>Activación, tiempo a primera venta, uso semanal, conversión trial→pago, retención, costo variable por cliente, tickets de soporte y motivos de abandono. No se deben contar negocios demo como MRR ni clientes reales.</w:t>
      </w:r>
    </w:p>
    <w:p>
      <w:pPr>
        <w:pStyle w:val="Heading1"/>
      </w:pPr>
      <w:r>
        <w:t>5. Comunicación del alcance</w:t>
      </w:r>
    </w:p>
    <w:p>
      <w:r>
        <w:t>Toda demo comercial debe indicar que el comprobante es interno no tributario y que pagos externos de la tesis no procesan dinero dentro de Localito. El DTE debe presentarse como roadmap.</w:t>
      </w:r>
    </w:p>
    <w:p>
      <w:pPr>
        <w:pStyle w:val="Heading1"/>
      </w:pPr>
      <w:r>
        <w:t>Fuentes y límites</w:t>
      </w:r>
    </w:p>
    <w:p>
      <w:pPr>
        <w:pStyle w:val="ListBullet"/>
      </w:pPr>
      <w:r>
        <w:t>EMP2103 Herramientas para el Emprendimiento: el Examen Transversal exige un Pitch NABC individual de máximo 3 minutos, abordando Necesidad, Acercamiento, Beneficios y Competencia.</w:t>
      </w:r>
    </w:p>
    <w:p>
      <w:pPr>
        <w:pStyle w:val="ListBullet"/>
      </w:pPr>
      <w:r>
        <w:t>Bitácora EA2 del ramo: generación/categorización de ideas, propuesta de valor, encuestas, benchmarking, PMV y pitch.</w:t>
      </w:r>
    </w:p>
    <w:p>
      <w:pPr>
        <w:pStyle w:val="ListBullet"/>
      </w:pPr>
      <w:r>
        <w:t>Repositorio LocalitoSaaS: alcance verificable, estado técnico y revisión de tesis/mercado.</w:t>
      </w:r>
    </w:p>
    <w:p>
      <w:pPr>
        <w:pStyle w:val="ListBullet"/>
      </w:pPr>
      <w:r>
        <w:t>Estudio de mercado y evaluación económica desarrollados previamente para Localito. Las cifras comerciales siguen tratándose como hipótesis cuando no existe validación con clientes.</w:t>
      </w:r>
    </w:p>
    <w:p>
      <w:pPr>
        <w:pStyle w:val="ListBullet"/>
      </w:pPr>
      <w:r>
        <w:t>No se inventan entrevistas, encuestas, conversiones, retención ni disposición a pagar. Todo resultado sin evidencia se mantiene como experimento pendiente.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HERRAMIENTAS PARA EL EMPRENDIMIENTO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  <w:jc w:val="both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