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Catálogo API REST de Localito</w:t>
      </w:r>
    </w:p>
    <w:p>
      <w:pPr>
        <w:jc w:val="center"/>
      </w:pPr>
      <w:r>
        <w:rPr>
          <w:rFonts w:ascii="Arial" w:hAnsi="Arial"/>
          <w:color w:val="475569"/>
          <w:sz w:val="21"/>
        </w:rPr>
        <w:t>Servicios reutilizables, contratos y documentación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El catálogo es una fotografía documental de la API actual. No reemplaza una especificación OpenAPI formal; la colección Postman complementaria permite ejecutar solicitudes de prueba en un ambiente controlado.</w:t>
            </w:r>
          </w:p>
        </w:tc>
      </w:tr>
    </w:tbl>
    <w:p>
      <w:pPr>
        <w:pStyle w:val="Heading1"/>
      </w:pPr>
      <w:r>
        <w:t>1. Grupos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30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547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Ejemplos de rutas</w:t>
            </w:r>
          </w:p>
        </w:tc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Consumidor / rol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Sistema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GET /health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Público; diagnóstico sin secretos.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Autenticación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/auth/register, /auth/login, /auth/password-reset/*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Público con límites de abuso.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Negocio y planes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/tenant, /tenant/preferences, /subscription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Owner; lectura selectiva para seller.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Usuarios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/users, /users/:id/password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 / perfil propio según operación.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Productos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/products, /products/import, /products/:id/stock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 y seller según lectura/operación.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Clientes y fiado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/customers, /customers/:id/payments, /customers/:id/statement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Owner/seller según ruta.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Ventas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POST /sales, cancelaciones, devoluciones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Owner/seller; mutaciones más sensibles restringidas.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IA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/ai/quick-sale/analyze, /ai/invoices/analyze, /ai/invoices/import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Owner/seller con límites y entitlements.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Proveedores/compras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/suppliers, /purchases, /purchases/:id/receive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Caja/auditoría/reportes</w:t>
            </w:r>
          </w:p>
        </w:tc>
        <w:tc>
          <w:tcPr>
            <w:tcW w:type="dxa" w:w="547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/cash/*, /audit/history, /reports/*</w:t>
            </w:r>
          </w:p>
        </w:tc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Owner/seller según información.</w:t>
            </w:r>
          </w:p>
        </w:tc>
      </w:tr>
    </w:tbl>
    <w:p>
      <w:pPr>
        <w:pStyle w:val="Heading1"/>
      </w:pPr>
      <w:r>
        <w:t>2. Convenciones del contrato</w:t>
      </w:r>
    </w:p>
    <w:p>
      <w:pPr>
        <w:pStyle w:val="ListBullet"/>
      </w:pPr>
      <w:r>
        <w:t>JSON como formato de intercambio principal.</w:t>
      </w:r>
    </w:p>
    <w:p>
      <w:pPr>
        <w:pStyle w:val="ListBullet"/>
      </w:pPr>
      <w:r>
        <w:t>Token Bearer para rutas autenticadas.</w:t>
      </w:r>
    </w:p>
    <w:p>
      <w:pPr>
        <w:pStyle w:val="ListBullet"/>
      </w:pPr>
      <w:r>
        <w:t>Códigos 2xx para éxito y 4xx/5xx para errores diferenciados.</w:t>
      </w:r>
    </w:p>
    <w:p>
      <w:pPr>
        <w:pStyle w:val="ListBullet"/>
      </w:pPr>
      <w:r>
        <w:t>Respuesta normalizada con campo data en operaciones exitosas y message para mensajes públicos.</w:t>
      </w:r>
    </w:p>
    <w:p>
      <w:pPr>
        <w:pStyle w:val="ListBullet"/>
      </w:pPr>
      <w:r>
        <w:t>El tenant se deriva de la sesión autenticada, no de un identificador arbitrario confiado al cliente.</w:t>
      </w:r>
    </w:p>
    <w:p>
      <w:pPr>
        <w:pStyle w:val="ListBullet"/>
      </w:pPr>
      <w:r>
        <w:t>POST /sales admite Idempotency-Key para reintentos de la cola offline.</w:t>
      </w:r>
    </w:p>
    <w:p>
      <w:pPr>
        <w:pStyle w:val="Heading1"/>
      </w:pPr>
      <w:r>
        <w:t>3. Documentación Postman</w:t>
      </w:r>
    </w:p>
    <w:p>
      <w:r>
        <w:t>Se creó una colección Postman con health, autenticación, negocio, productos, clientes, ventas, IA, compras, caja, auditoría y pagos académicos. El environment usa valores de ejemplo y campos vacíos para tokens o imágenes; no contiene credenciales reales.</w:t>
      </w:r>
    </w:p>
    <w:p>
      <w:pPr>
        <w:pStyle w:val="Heading1"/>
      </w:pPr>
      <w:r>
        <w:t>4. Alcance de la colección</w:t>
      </w:r>
    </w:p>
    <w:p>
      <w:r>
        <w:t>La colección es un artefacto de documentación y preparación de pruebas. Algunas solicitudes requieren datos previos, un proveedor configurado o un payload de negocio válido; por ello no debe presentarse como evidencia de que todos los casos fueron ejecutados.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