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Flujo de Caja e Indicadores Financieros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Modelo lean recalculado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reducción de la estructura inicial acorta el período de recuperación. Como consecuencia, el VAN y la TIR suben de forma importante; por eso deben interpretarse siempre como resultados del escenario modelado y no como rentabilidad garantizada.</w:t>
            </w:r>
          </w:p>
        </w:tc>
      </w:tr>
    </w:tbl>
    <w:p>
      <w:pPr>
        <w:pStyle w:val="Heading1"/>
      </w:pPr>
      <w:r>
        <w:t>1. Flujo de caja libre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388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Flujo libre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0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-$3.000.000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1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-$1.620.000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2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$945.000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3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$4.825.800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4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$10.410.864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Año 5</w:t>
            </w:r>
          </w:p>
        </w:tc>
        <w:tc>
          <w:tcPr>
            <w:tcW w:type="dxa" w:w="38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7"/>
              </w:rPr>
              <w:t>$18.388.533</w:t>
            </w:r>
          </w:p>
        </w:tc>
      </w:tr>
    </w:tbl>
    <w:p>
      <w:pPr>
        <w:pStyle w:val="Heading1"/>
      </w:pPr>
      <w:r>
        <w:t>2. Indicadores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9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47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VAN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$16.792.269</w:t>
            </w:r>
          </w:p>
        </w:tc>
        <w:tc>
          <w:tcPr>
            <w:tcW w:type="dxa" w:w="54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Positivo a una tasa de descuento de 12%.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TIR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68,8%</w:t>
            </w:r>
          </w:p>
        </w:tc>
        <w:tc>
          <w:tcPr>
            <w:tcW w:type="dxa" w:w="54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Alta por la baja inversión inicial y el crecimiento proyectado.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ROI simple acumulado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97,2%</w:t>
            </w:r>
          </w:p>
        </w:tc>
        <w:tc>
          <w:tcPr>
            <w:tcW w:type="dxa" w:w="54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Utilidad acumulada respecto del costo económico acumulado.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Payback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2,76 años</w:t>
            </w:r>
          </w:p>
        </w:tc>
        <w:tc>
          <w:tcPr>
            <w:tcW w:type="dxa" w:w="54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La inversión se recupera durante el tercer año.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Punto de equilibrio</w:t>
            </w:r>
          </w:p>
        </w:tc>
        <w:tc>
          <w:tcPr>
            <w:tcW w:type="dxa" w:w="25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≈ 22 clientes pagados</w:t>
            </w:r>
          </w:p>
        </w:tc>
        <w:tc>
          <w:tcPr>
            <w:tcW w:type="dxa" w:w="54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Clientes necesarios para cubrir el costo fijo mensual del año 1.</w:t>
            </w:r>
          </w:p>
        </w:tc>
      </w:tr>
    </w:tbl>
    <w:p>
      <w:pPr>
        <w:pStyle w:val="Heading1"/>
      </w:pPr>
      <w:r>
        <w:t>3. Cómo defender la TIR alta</w:t>
      </w:r>
    </w:p>
    <w:p>
      <w:r>
        <w:t>Una TIR cercana al 69% puede llamar la atención. No se debe presentar como una rentabilidad observada. Matemáticamente surge porque el desembolso inicial es pequeño frente a los flujos proyectados de los años 3 a 5. En una validación comercial real, la TIR probablemente cambiaría al incorporar remuneraciones, CAC, impuestos y costos de soporte más completos.</w:t>
      </w:r>
    </w:p>
    <w:p>
      <w:pPr>
        <w:pStyle w:val="Heading1"/>
      </w:pPr>
      <w:r>
        <w:t>4. VAC y CAE</w:t>
      </w:r>
    </w:p>
    <w:p>
      <w:r>
        <w:t>Con la estructura lean, el VAC de costos es aproximadamente $22.035.643 y el CAE de costos $6.112.902. Ambos quedan como métricas complementarias.</w:t>
      </w:r>
    </w:p>
    <w:p>
      <w:pPr>
        <w:pStyle w:val="Heading1"/>
      </w:pPr>
      <w:r>
        <w:t>Fuentes de referencia</w:t>
      </w:r>
    </w:p>
    <w:p>
      <w:pPr>
        <w:spacing w:before="40" w:after="0"/>
      </w:pPr>
      <w:r>
        <w:rPr>
          <w:rFonts w:ascii="Arial" w:hAnsi="Arial"/>
          <w:color w:val="374151"/>
          <w:sz w:val="18"/>
        </w:rPr>
        <w:t>Referencias utilizadas: material del ramo de Evaluación de Proyectos; repositorio LocalitoSaaS (revisión de tesis/mercado, alcance y estado actual); precios de planes definidos por el equipo. La inversión, los costos y la curva de clientes permanecen como supuestos académicos editables.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