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Factibilidad Técnica, Económica y Operacional</w:t>
      </w:r>
    </w:p>
    <w:p>
      <w:pPr>
        <w:jc w:val="center"/>
      </w:pPr>
      <w:r>
        <w:rPr>
          <w:rFonts w:ascii="Arial" w:hAnsi="Arial"/>
          <w:color w:val="475569"/>
          <w:sz w:val="21"/>
        </w:rPr>
        <w:t>Resultado con modelo lean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El modelo revisado fortalece la factibilidad económica del proyecto, pero la factibilidad comercial sigue dependiendo de clientes reales y de costos observados.</w:t>
            </w:r>
          </w:p>
        </w:tc>
      </w:tr>
    </w:tbl>
    <w:p>
      <w:pPr>
        <w:pStyle w:val="Heading1"/>
      </w:pPr>
      <w:r>
        <w:t>1. Factibilidad técnica</w:t>
      </w:r>
    </w:p>
    <w:p>
      <w:r>
        <w:t>La solución es técnicamente factible para el alcance de tesis. Existe una base funcional, arquitectura documentada, persistencia y flujo de pruebas. Permanecen pendientes de cierre la validación física y algunos escenarios de concurrencia.</w:t>
      </w:r>
    </w:p>
    <w:p>
      <w:pPr>
        <w:pStyle w:val="Heading1"/>
      </w:pPr>
      <w:r>
        <w:t>2. Factibilidad económica</w:t>
      </w:r>
    </w:p>
    <w:p>
      <w:r>
        <w:t>En el escenario base lean, el VAN alcanza $16.792.269, la TIR 68,8% y el Payback 2,76 años. El escenario pesimista sigue entregando VAN negativo, por lo que el modelo no elimina el riesgo de baja adopción.</w:t>
      </w:r>
    </w:p>
    <w:p>
      <w:pPr>
        <w:pStyle w:val="Heading1"/>
      </w:pPr>
      <w:r>
        <w:t>3. Factibilidad operacional</w:t>
      </w:r>
    </w:p>
    <w:p>
      <w:r>
        <w:t>El enfoque lean es coherente con una primera etapa donde el mismo equipo absorbe parte de soporte, administración y evolución. A medida que crezca la base de clientes, esa estructura deberá profesionalizarse y el modelo de costos tendrá que actualizarse.</w:t>
      </w:r>
    </w:p>
    <w:p>
      <w:pPr>
        <w:pStyle w:val="Heading1"/>
      </w:pPr>
      <w:r>
        <w:t>4. Resultado por dimensión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168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04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Condición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Técnica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Favorable</w:t>
            </w:r>
          </w:p>
        </w:tc>
        <w:tc>
          <w:tcPr>
            <w:tcW w:type="dxa" w:w="50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Cerrar validaciones críticas.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Económica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Favorable en escenario base</w:t>
            </w:r>
          </w:p>
        </w:tc>
        <w:tc>
          <w:tcPr>
            <w:tcW w:type="dxa" w:w="50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Mantener costos lean y alcanzar adopción suficiente.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Operacional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Viable para piloto</w:t>
            </w:r>
          </w:p>
        </w:tc>
        <w:tc>
          <w:tcPr>
            <w:tcW w:type="dxa" w:w="50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El equipo absorbe parte de la operación inicial.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Comercial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Aún no concluyente</w:t>
            </w:r>
          </w:p>
        </w:tc>
        <w:tc>
          <w:tcPr>
            <w:tcW w:type="dxa" w:w="50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Se necesitan clientes pagados y retención real.</w:t>
            </w:r>
          </w:p>
        </w:tc>
      </w:tr>
    </w:tbl>
    <w:p>
      <w:pPr>
        <w:pStyle w:val="Heading1"/>
      </w:pPr>
      <w:r>
        <w:t>Fuentes de referencia</w:t>
      </w:r>
    </w:p>
    <w:p>
      <w:pPr>
        <w:pStyle w:val="ListBullet"/>
      </w:pPr>
      <w:r>
        <w:t>Informe de Evaluación Económica y Planilla de Evaluación de Proyectos utilizados como referencia metodológica del ramo.</w:t>
      </w:r>
    </w:p>
    <w:p>
      <w:pPr>
        <w:pStyle w:val="ListBullet"/>
      </w:pPr>
      <w:r>
        <w:t>Repositorio LocalitoSaaS: revisión de tesis y mercado, alcance, estado actual y documentación de negocio.</w:t>
      </w:r>
    </w:p>
    <w:p>
      <w:pPr>
        <w:pStyle w:val="ListBullet"/>
      </w:pPr>
      <w:r>
        <w:t>Precios de los planes Básico y Pro definidos por el equipo Localito.</w:t>
      </w:r>
    </w:p>
    <w:p>
      <w:pPr>
        <w:pStyle w:val="ListBullet"/>
      </w:pPr>
      <w:r>
        <w:t>Inversión, estructura de costos y curva de clientes tratados como supuestos académicos editables hasta disponer de evidencia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EVALUACIÓN DE PROYECTOS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