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6F5F"/>
          <w:sz w:val="64"/>
        </w:rPr>
        <w:t>LOCALITO</w:t>
      </w:r>
    </w:p>
    <w:p>
      <w:pPr>
        <w:jc w:val="center"/>
      </w:pPr>
      <w:r>
        <w:t>Plan de Sprints 2026 - reconstrucción documental</w:t>
      </w:r>
    </w:p>
    <w:p>
      <w:pPr>
        <w:jc w:val="center"/>
      </w:pPr>
      <w:r>
        <w:t>Ocho Sprints quincenales entre el 10 de agosto y el 29 de noviembre, más una semana final de entrega</w:t>
      </w:r>
    </w:p>
    <w:p/>
    <w:tbl>
      <w:tblPr>
        <w:tblStyle w:val="TableGrid"/>
        <w:tblW w:type="auto" w:w="0"/>
        <w:jc w:val="center"/>
        <w:tblLook w:firstColumn="1" w:firstRow="1" w:lastColumn="0" w:lastRow="0" w:noHBand="0" w:noVBand="1" w:val="04A0"/>
      </w:tblPr>
      <w:tblGrid>
        <w:gridCol w:w="4759"/>
        <w:gridCol w:w="4759"/>
      </w:tblGrid>
      <w:tr>
        <w:tc>
          <w:tcPr>
            <w:tcW w:type="dxa" w:w="4759"/>
            <w:shd w:fill="1F6F5F"/>
            <w:vAlign w:val="center"/>
          </w:tcPr>
          <w:p>
            <w:r>
              <w:rPr>
                <w:color w:val="FFFFFF"/>
              </w:rPr>
              <w:t>Proyecto</w:t>
            </w:r>
          </w:p>
        </w:tc>
        <w:tc>
          <w:tcPr>
            <w:tcW w:type="dxa" w:w="4759"/>
          </w:tcPr>
          <w:p>
            <w:r>
              <w:t>Localito - PWA SaaS para comercios de barrio</w:t>
            </w:r>
          </w:p>
        </w:tc>
      </w:tr>
      <w:tr>
        <w:tc>
          <w:tcPr>
            <w:tcW w:type="dxa" w:w="4759"/>
            <w:shd w:fill="1F6F5F"/>
            <w:vAlign w:val="center"/>
          </w:tcPr>
          <w:p>
            <w:r>
              <w:rPr>
                <w:color w:val="FFFFFF"/>
              </w:rPr>
              <w:t>Metodología</w:t>
            </w:r>
          </w:p>
        </w:tc>
        <w:tc>
          <w:tcPr>
            <w:tcW w:type="dxa" w:w="4759"/>
          </w:tcPr>
          <w:p>
            <w:r>
              <w:t>Agile / Scrum</w:t>
            </w:r>
          </w:p>
        </w:tc>
      </w:tr>
      <w:tr>
        <w:tc>
          <w:tcPr>
            <w:tcW w:type="dxa" w:w="4759"/>
            <w:shd w:fill="1F6F5F"/>
            <w:vAlign w:val="center"/>
          </w:tcPr>
          <w:p>
            <w:r>
              <w:rPr>
                <w:color w:val="FFFFFF"/>
              </w:rPr>
              <w:t>Versión</w:t>
            </w:r>
          </w:p>
        </w:tc>
        <w:tc>
          <w:tcPr>
            <w:tcW w:type="dxa" w:w="4759"/>
          </w:tcPr>
          <w:p>
            <w:r>
              <w:t>1.0</w:t>
            </w:r>
          </w:p>
        </w:tc>
      </w:tr>
      <w:tr>
        <w:tc>
          <w:tcPr>
            <w:tcW w:type="dxa" w:w="4759"/>
            <w:shd w:fill="1F6F5F"/>
            <w:vAlign w:val="center"/>
          </w:tcPr>
          <w:p>
            <w:r>
              <w:rPr>
                <w:color w:val="FFFFFF"/>
              </w:rPr>
              <w:t>Fecha de corte</w:t>
            </w:r>
          </w:p>
        </w:tc>
        <w:tc>
          <w:tcPr>
            <w:tcW w:type="dxa" w:w="4759"/>
          </w:tcPr>
          <w:p>
            <w:r>
              <w:t>15 de septiembre de 2026</w:t>
            </w:r>
          </w:p>
        </w:tc>
      </w:tr>
    </w:tbl>
    <w:p/>
    <w:p>
      <w:pPr>
        <w:jc w:val="center"/>
      </w:pPr>
      <w:r>
        <w:rPr>
          <w:b/>
          <w:sz w:val="23"/>
        </w:rPr>
        <w:t>Equipo Scrum</w:t>
      </w:r>
    </w:p>
    <w:p>
      <w:pPr>
        <w:jc w:val="center"/>
      </w:pPr>
      <w:r>
        <w:t>Alexander Patiño - Product Owner</w:t>
      </w:r>
    </w:p>
    <w:p>
      <w:pPr>
        <w:jc w:val="center"/>
      </w:pPr>
      <w:r>
        <w:t>Samuel Solís - Scrum Master</w:t>
      </w:r>
    </w:p>
    <w:p>
      <w:pPr>
        <w:jc w:val="center"/>
      </w:pPr>
      <w:r>
        <w:t>Camilo González - Developer / desarrollo principal</w:t>
      </w:r>
    </w:p>
    <w:p>
      <w:r>
        <w:br w:type="page"/>
      </w:r>
    </w:p>
    <w:p>
      <w:pPr>
        <w:pStyle w:val="Heading1"/>
      </w:pPr>
      <w:r>
        <w:t>Control documental</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fill="1F6F5F"/>
          </w:tcPr>
          <w:p>
            <w:r>
              <w:rPr>
                <w:color w:val="FFFFFF"/>
              </w:rPr>
              <w:t>Versión</w:t>
            </w:r>
          </w:p>
        </w:tc>
        <w:tc>
          <w:tcPr>
            <w:tcW w:type="dxa" w:w="2379"/>
            <w:shd w:fill="1F6F5F"/>
          </w:tcPr>
          <w:p>
            <w:r>
              <w:rPr>
                <w:color w:val="FFFFFF"/>
              </w:rPr>
              <w:t>Fecha</w:t>
            </w:r>
          </w:p>
        </w:tc>
        <w:tc>
          <w:tcPr>
            <w:tcW w:type="dxa" w:w="2379"/>
            <w:shd w:fill="1F6F5F"/>
          </w:tcPr>
          <w:p>
            <w:r>
              <w:rPr>
                <w:color w:val="FFFFFF"/>
              </w:rPr>
              <w:t>Responsable</w:t>
            </w:r>
          </w:p>
        </w:tc>
        <w:tc>
          <w:tcPr>
            <w:tcW w:type="dxa" w:w="2379"/>
            <w:shd w:fill="1F6F5F"/>
          </w:tcPr>
          <w:p>
            <w:r>
              <w:rPr>
                <w:color w:val="FFFFFF"/>
              </w:rPr>
              <w:t>Estado</w:t>
            </w:r>
          </w:p>
        </w:tc>
      </w:tr>
      <w:tr>
        <w:tc>
          <w:tcPr>
            <w:tcW w:type="dxa" w:w="2379"/>
          </w:tcPr>
          <w:p>
            <w:r>
              <w:t>1.0</w:t>
            </w:r>
          </w:p>
        </w:tc>
        <w:tc>
          <w:tcPr>
            <w:tcW w:type="dxa" w:w="2379"/>
          </w:tcPr>
          <w:p>
            <w:r>
              <w:t>15 de septiembre de 2026</w:t>
            </w:r>
          </w:p>
        </w:tc>
        <w:tc>
          <w:tcPr>
            <w:tcW w:type="dxa" w:w="2379"/>
          </w:tcPr>
          <w:p>
            <w:r>
              <w:t>Equipo Scrum</w:t>
            </w:r>
          </w:p>
        </w:tc>
        <w:tc>
          <w:tcPr>
            <w:tcW w:type="dxa" w:w="2379"/>
          </w:tcPr>
          <w:p>
            <w:r>
              <w:t>Vigente para trabajo académico</w:t>
            </w:r>
          </w:p>
        </w:tc>
      </w:tr>
    </w:tbl>
    <w:p>
      <w:pPr>
        <w:pStyle w:val="Heading1"/>
      </w:pPr>
      <w:r>
        <w:t>Advertencia metodológica</w:t>
      </w:r>
    </w:p>
    <w:p>
      <w:pPr>
        <w:jc w:val="both"/>
      </w:pPr>
      <w:r>
        <w:t>El repositorio conserva una reconstrucción técnica que distribuye el alcance en Sprints 0 a 13. Esa numeración no coincide con el calendario real del Capstone, que va del 10 de agosto al 6 de diciembre de 2026. Para la documentación de tesis se reorganiza el backlog en ocho Sprints de dos semanas. La reorganización no pretende alterar la historia del código ni inventar ceremonias pasadas: sirve para construir una planificación académica coherente, trazable y compatible con Scrum.</w:t>
      </w:r>
    </w:p>
    <w:p>
      <w:pPr>
        <w:pStyle w:val="Heading2"/>
      </w:pPr>
      <w:r>
        <w:t>Sprint 1</w:t>
      </w:r>
    </w:p>
    <w:p>
      <w:pPr/>
      <w:r>
        <w:t>Sprint Goal: Establecer la base del producto y dejar operativo el núcleo SaaS, identidad y catálogo.</w:t>
      </w:r>
    </w:p>
    <w:p>
      <w:pPr/>
      <w:r>
        <w:t>Fechas: 10 al 23 de agosto de 2026. Capacidad referencial: 10 días hábiles; el 15 de agosto es feriado, pero cae sábado y no reduce la capacidad semanal.</w:t>
      </w:r>
    </w:p>
    <w:p>
      <w:pPr/>
      <w:r>
        <w:t>Alcance reorganizado: historias provenientes de los antiguos Sprints 1 y 2: plataforma SaaS, aislamiento multi-tenant, usuarios, autenticación, onboarding, importación CSV, catálogo, búsqueda y categorías.</w:t>
      </w:r>
    </w:p>
    <w:p>
      <w:pPr>
        <w:pStyle w:val="Heading2"/>
      </w:pPr>
      <w:r>
        <w:t>Sprint 2</w:t>
      </w:r>
    </w:p>
    <w:p>
      <w:pPr/>
      <w:r>
        <w:t>Sprint Goal: Consolidar inventario, abastecimiento y el núcleo transaccional de venta.</w:t>
      </w:r>
    </w:p>
    <w:p>
      <w:pPr/>
      <w:r>
        <w:t>Fechas: 24 de agosto al 6 de septiembre de 2026. Capacidad referencial: 10 días hábiles.</w:t>
      </w:r>
    </w:p>
    <w:p>
      <w:pPr/>
      <w:r>
        <w:t>Alcance reorganizado: historias provenientes de los antiguos Sprints 3 y 4: stock, kardex, proveedores, compras, alertas, ticket POS, descuentos, pago dividido, idempotencia, devoluciones y comprobante interno.</w:t>
      </w:r>
    </w:p>
    <w:p>
      <w:pPr>
        <w:pStyle w:val="Heading2"/>
      </w:pPr>
      <w:r>
        <w:t>Sprint 3</w:t>
      </w:r>
    </w:p>
    <w:p>
      <w:pPr/>
      <w:r>
        <w:t>Sprint Goal: Incorporar clientes, fiado y operación de caja con trazabilidad.</w:t>
      </w:r>
    </w:p>
    <w:p>
      <w:pPr/>
      <w:r>
        <w:t>Fechas: 7 al 20 de septiembre de 2026. Capacidad referencial: 9 días hábiles por el feriado nacional del viernes 18 de septiembre; el 19 de septiembre cae sábado.</w:t>
      </w:r>
    </w:p>
    <w:p>
      <w:pPr/>
      <w:r>
        <w:t>Alcance reorganizado: historias provenientes de los antiguos Sprints 5 y 6: clientes, cupos, abonos, recordatorios, apertura y cierre de caja, movimientos, conciliación y reportes básicos.</w:t>
      </w:r>
    </w:p>
    <w:p>
      <w:pPr>
        <w:pStyle w:val="Heading2"/>
      </w:pPr>
      <w:r>
        <w:t>Sprint 4</w:t>
      </w:r>
    </w:p>
    <w:p>
      <w:pPr/>
      <w:r>
        <w:t>Sprint Goal: Reducir fricción operativa mediante asistencia visual, pagos externos controlados y métricas de negocio.</w:t>
      </w:r>
    </w:p>
    <w:p>
      <w:pPr/>
      <w:r>
        <w:t>Fechas: 21 de septiembre al 4 de octubre de 2026. Capacidad referencial: 10 días hábiles.</w:t>
      </w:r>
    </w:p>
    <w:p>
      <w:pPr/>
      <w:r>
        <w:t>Alcance reorganizado: historias provenientes de los antiguos Sprints 7 y 8: factura asistida por IA, Venta Rápida, corrección humana, código de barras, pagos externos registrados manualmente, gastos y resultado estimado.</w:t>
      </w:r>
    </w:p>
    <w:p>
      <w:pPr>
        <w:pStyle w:val="Heading2"/>
      </w:pPr>
      <w:r>
        <w:t>Sprint 5</w:t>
      </w:r>
    </w:p>
    <w:p>
      <w:pPr/>
      <w:r>
        <w:t>Sprint Goal: Fortalecer experiencia móvil, continuidad de uso y calidad operativa.</w:t>
      </w:r>
    </w:p>
    <w:p>
      <w:pPr/>
      <w:r>
        <w:t>Fechas: 5 al 18 de octubre de 2026. Capacidad referencial: 9 días hábiles por el feriado del lunes 12 de octubre.</w:t>
      </w:r>
    </w:p>
    <w:p>
      <w:pPr/>
      <w:r>
        <w:t>Alcance reorganizado: historias provenientes de los antiguos Sprints 9 y 10: responsive, PWA, cola offline de ventas, persistencia, health checks, pruebas repetibles y documentación técnica.</w:t>
      </w:r>
    </w:p>
    <w:p>
      <w:pPr>
        <w:pStyle w:val="Heading2"/>
      </w:pPr>
      <w:r>
        <w:t>Sprint 6</w:t>
      </w:r>
    </w:p>
    <w:p>
      <w:pPr/>
      <w:r>
        <w:t>Sprint Goal: Consolidar la experiencia SaaS, planes, permisos y navegación por rol.</w:t>
      </w:r>
    </w:p>
    <w:p>
      <w:pPr/>
      <w:r>
        <w:t>Fechas: 19 de octubre al 1 de noviembre de 2026. Capacidad referencial: 10 días hábiles; los feriados del 31 de octubre y 1 de noviembre caen sábado y domingo.</w:t>
      </w:r>
    </w:p>
    <w:p>
      <w:pPr/>
      <w:r>
        <w:t>Alcance reorganizado: historias provenientes de los antiguos Sprints 11 y 12: trial Pro, planes, suscripciones, entitlements, navegación, confirmación de pagos externos, temas, dashboard, datos del negocio y activación manual.</w:t>
      </w:r>
    </w:p>
    <w:p>
      <w:pPr>
        <w:pStyle w:val="Heading2"/>
      </w:pPr>
      <w:r>
        <w:t>Sprint 7</w:t>
      </w:r>
    </w:p>
    <w:p>
      <w:pPr/>
      <w:r>
        <w:t>Sprint Goal: Cerrar brechas funcionales del producto y completar el hardening académico.</w:t>
      </w:r>
    </w:p>
    <w:p>
      <w:pPr/>
      <w:r>
        <w:t>Fechas: 2 al 15 de noviembre de 2026. Capacidad referencial: 10 días hábiles.</w:t>
      </w:r>
    </w:p>
    <w:p>
      <w:pPr/>
      <w:r>
        <w:t>Alcance reorganizado: historias provenientes del antiguo Sprint 13: alta pública, persistencia de planes, administración de usuarios, reportes mensuales, devoluciones, corrección de abonos, refinamiento visual, simulaciones de contratación y recuperación de acceso.</w:t>
      </w:r>
    </w:p>
    <w:p>
      <w:pPr>
        <w:pStyle w:val="Heading2"/>
      </w:pPr>
      <w:r>
        <w:t>Sprint 8</w:t>
      </w:r>
    </w:p>
    <w:p>
      <w:pPr/>
      <w:r>
        <w:t>Sprint Goal: Convertir los pendientes de validación en evidencia verificable antes del cierre de tesis.</w:t>
      </w:r>
    </w:p>
    <w:p>
      <w:pPr/>
      <w:r>
        <w:t>Fechas: 16 al 29 de noviembre de 2026. Capacidad referencial: 10 días hábiles.</w:t>
      </w:r>
    </w:p>
    <w:p>
      <w:pPr/>
      <w:r>
        <w:t>Trabajo de cierre del backlog: regresión visual posterior al rediseño, conservación de formularios y teclado, validación física de PWA en iPhone/Android, pruebas de PostgreSQL para migración/concurrencia/idempotencia, revisión de cierre de caja concurrente, rotación de credenciales y consolidación de evidencia para la defensa.</w:t>
      </w:r>
    </w:p>
    <w:p>
      <w:pPr>
        <w:pStyle w:val="Heading1"/>
      </w:pPr>
      <w:r>
        <w:t>Semana final de entrega y defensa</w:t>
      </w:r>
    </w:p>
    <w:p>
      <w:pPr/>
      <w:r>
        <w:t>Objetivo: congelar el alcance funcional y preparar la entrega académica.</w:t>
      </w:r>
    </w:p>
    <w:p>
      <w:pPr/>
      <w:r>
        <w:t>Fechas: 30 de noviembre al 6 de diciembre de 2026. No se considera un Sprint de desarrollo.</w:t>
      </w:r>
    </w:p>
    <w:p>
      <w:pPr/>
      <w:r>
        <w:t>Actividades: empaquetar evidencias, actualizar documentación final, preparar demo, revisar guion, ensayar defensa y corregir únicamente defectos que comprometan la demostración. No se planifican nuevas funcionalidades.</w:t>
      </w:r>
    </w:p>
    <w:p>
      <w:pPr>
        <w:pStyle w:val="Heading1"/>
      </w:pPr>
      <w:r>
        <w:t>Criterio de cierre del período</w:t>
      </w:r>
    </w:p>
    <w:p>
      <w:pPr>
        <w:jc w:val="both"/>
      </w:pPr>
      <w:r>
        <w:t>Todo trabajo que afecte al producto debería alcanzar la Definition of Done a más tardar el 29 de noviembre. La última semana se reserva como margen académico para consolidar evidencias y preparar la defensa. Si una validación crítica no queda cerrada, debe permanecer declarada como pendiente; no corresponde compensarla agregando más alcance.</w:t>
      </w:r>
    </w:p>
    <w:p>
      <w:pPr>
        <w:pStyle w:val="Heading1"/>
      </w:pPr>
      <w:r>
        <w:t>Fuentes de elaboración</w:t>
      </w:r>
    </w:p>
    <w:p>
      <w:pPr>
        <w:pStyle w:val="ListBullet"/>
      </w:pPr>
      <w:r>
        <w:t>Repositorio LocalitoSaaS: Backlog-Scrum-Jira.md y Jira-Import.csv.</w:t>
      </w:r>
    </w:p>
    <w:p>
      <w:pPr>
        <w:pStyle w:val="ListBullet"/>
      </w:pPr>
      <w:r>
        <w:t>Repositorio LocalitoSaaS: Alcance-Tesis.md y Estado-Actual.md, revisados al corte técnico de septiembre de 2026.</w:t>
      </w:r>
    </w:p>
    <w:p>
      <w:pPr>
        <w:pStyle w:val="ListBullet"/>
      </w:pPr>
      <w:r>
        <w:t>Trabajo académico “Gestión Ágil del Proyecto Ferremas - Informe del Sprint 1” (Duoc UC, 2025), utilizado como referencia de estructura y nivel de detalle.</w:t>
      </w:r>
    </w:p>
    <w:p>
      <w:pPr>
        <w:pStyle w:val="ListBullet"/>
      </w:pPr>
      <w:r>
        <w:t>The Scrum Guide, Schwaber y Sutherland (2020), como referencia conceptual para roles, eventos y artefactos.</w:t>
      </w:r>
    </w:p>
    <w:p>
      <w:r>
        <w:rPr>
          <w:b/>
        </w:rPr>
        <w:t xml:space="preserve">Criterio de trazabilidad: </w:t>
      </w:r>
      <w:r>
        <w:t>cuando el repositorio no conserva evidencia suficiente para afirmar que una ceremonia ocurrió en una fecha determinada, el documento lo identifica como reconstrucción documental y no como acta histórica.</w:t>
      </w:r>
    </w:p>
    <w:sectPr w:rsidR="00FC693F" w:rsidRPr="0006063C" w:rsidSect="00034616">
      <w:headerReference w:type="default" r:id="rId9"/>
      <w:footerReference w:type="default" r:id="rId10"/>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
      <w:jc w:val="right"/>
    </w:pPr>
    <w:r>
      <w:t xml:space="preserve">Documento académico - versión 1.0  |  </w:t>
    </w:r>
    <w: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
    </w:pPr>
    <w:r>
      <w:t>LOCALITO  |  Gestión Ágil con Scrum  |  Capstone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6F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6F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6F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rPr>
      <w:rFonts w:ascii="Aptos" w:hAnsi="Aptos"/>
      <w:color w:val="6B728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