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</w:rPr>
        <w:t>DUOC UC PLAZA NORTE</w:t>
      </w:r>
    </w:p>
    <w:p>
      <w:pPr>
        <w:pStyle w:val="Title"/>
        <w:spacing w:before="480" w:after="360"/>
      </w:pPr>
      <w:r>
        <w:t>Aplicabilidad de SRS y gestión de requisitos de Localito</w:t>
      </w:r>
    </w:p>
    <w:p>
      <w:pPr>
        <w:pStyle w:val="Subtitle"/>
      </w:pPr>
      <w:r>
        <w:t>Proyecto Capstone de Ingeniería en Informática</w:t>
      </w:r>
    </w:p>
    <w:p>
      <w:pPr>
        <w:pStyle w:val="Subtitle"/>
      </w:pPr>
      <w:r>
        <w:t>Localito PWA SaaS para gestión de pequeños comercios</w:t>
      </w:r>
    </w:p>
    <w:p>
      <w:pPr>
        <w:spacing w:before="760"/>
      </w:pPr>
      <w:r>
        <w:rPr>
          <w:b/>
        </w:rPr>
        <w:t>Autores</w:t>
      </w:r>
    </w:p>
    <w:p>
      <w:r>
        <w:t>Camilo González</w:t>
        <w:br/>
        <w:t>Alexander Patiño</w:t>
        <w:br/>
        <w:t>Samuel Solís</w:t>
      </w:r>
    </w:p>
    <w:p>
      <w:r>
        <w:t>Docente Álvaro Andrés Mellado Pimentel</w:t>
      </w:r>
    </w:p>
    <w:p>
      <w:r>
        <w:t>Versión documental revisada</w:t>
        <w:br/>
        <w:t>Corte del proyecto 03 de octubre de 2026</w:t>
      </w:r>
    </w:p>
    <w:p>
      <w:pPr>
        <w:spacing w:before="400"/>
      </w:pPr>
      <w:r>
        <w:t>Este documento desarrolla aplicabilidad de srs y gestión de requisitos con evidencia del repositorio y referencias públicas. Distingue implementación, resultados históricos y mejoras pendientes.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h1">
        <w:r>
          <w:rPr>
            <w:color w:val="000000"/>
          </w:rPr>
          <w:t xml:space="preserve">1 Resumen ejecutivo</w:t>
        </w:r>
      </w:hyperlink>
      <w:r>
        <w:tab/>
      </w:r>
      <w:r>
        <w:fldChar w:fldCharType="begin"/>
      </w:r>
      <w:r>
        <w:instrText xml:space="preserve"> PAGEREF h1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2">
        <w:r>
          <w:rPr>
            <w:color w:val="000000"/>
          </w:rPr>
          <w:t xml:space="preserve">2 Introducción y alcance de la decisión</w:t>
        </w:r>
      </w:hyperlink>
      <w:r>
        <w:tab/>
      </w:r>
      <w:r>
        <w:fldChar w:fldCharType="begin"/>
      </w:r>
      <w:r>
        <w:instrText xml:space="preserve"> PAGEREF h2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3">
        <w:r>
          <w:rPr>
            <w:color w:val="000000"/>
          </w:rPr>
          <w:t xml:space="preserve">3 Organización de los requisitos</w:t>
        </w:r>
      </w:hyperlink>
      <w:r>
        <w:tab/>
      </w:r>
      <w:r>
        <w:fldChar w:fldCharType="begin"/>
      </w:r>
      <w:r>
        <w:instrText xml:space="preserve"> PAGEREF h3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4">
        <w:r>
          <w:rPr>
            <w:color w:val="000000"/>
          </w:rPr>
          <w:t xml:space="preserve">4 Requisitos funcionales y reglas de negocio</w:t>
        </w:r>
      </w:hyperlink>
      <w:r>
        <w:tab/>
      </w:r>
      <w:r>
        <w:fldChar w:fldCharType="begin"/>
      </w:r>
      <w:r>
        <w:instrText xml:space="preserve"> PAGEREF h4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5">
        <w:r>
          <w:rPr>
            <w:color w:val="000000"/>
          </w:rPr>
          <w:t xml:space="preserve">5 Requisitos no funcionales y comprobación</w:t>
        </w:r>
      </w:hyperlink>
      <w:r>
        <w:tab/>
      </w:r>
      <w:r>
        <w:fldChar w:fldCharType="begin"/>
      </w:r>
      <w:r>
        <w:instrText xml:space="preserve"> PAGEREF h5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6">
        <w:r>
          <w:rPr>
            <w:color w:val="000000"/>
          </w:rPr>
          <w:t xml:space="preserve">6 Trazabilidad y cambios</w:t>
        </w:r>
      </w:hyperlink>
      <w:r>
        <w:tab/>
      </w:r>
      <w:r>
        <w:fldChar w:fldCharType="begin"/>
      </w:r>
      <w:r>
        <w:instrText xml:space="preserve"> PAGEREF h6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7">
        <w:r>
          <w:rPr>
            <w:color w:val="000000"/>
          </w:rPr>
          <w:t xml:space="preserve">7 Condiciones para una futura SRS formal</w:t>
        </w:r>
      </w:hyperlink>
      <w:r>
        <w:tab/>
      </w:r>
      <w:r>
        <w:fldChar w:fldCharType="begin"/>
      </w:r>
      <w:r>
        <w:instrText xml:space="preserve"> PAGEREF h7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8">
        <w:r>
          <w:rPr>
            <w:color w:val="000000"/>
          </w:rPr>
          <w:t xml:space="preserve">8 Conclusiones</w:t>
        </w:r>
      </w:hyperlink>
      <w:r>
        <w:tab/>
      </w:r>
      <w:r>
        <w:fldChar w:fldCharType="begin"/>
      </w:r>
      <w:r>
        <w:instrText xml:space="preserve"> PAGEREF h8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9">
        <w:r>
          <w:rPr>
            <w:color w:val="000000"/>
          </w:rPr>
          <w:t xml:space="preserve">9 Referencias y evidencia de la versión</w:t>
        </w:r>
      </w:hyperlink>
      <w:r>
        <w:tab/>
      </w:r>
      <w:r>
        <w:fldChar w:fldCharType="begin"/>
      </w:r>
      <w:r>
        <w:instrText xml:space="preserve"> PAGEREF h9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eading1"/>
      </w:pPr>
      <w:bookmarkStart w:id="1" w:name="h1"/>
      <w:r>
        <w:t>1 Resumen ejecutivo</w:t>
      </w:r>
      <w:bookmarkEnd w:id="1"/>
    </w:p>
    <w:p>
      <w:r>
        <w:t>La pauta recibida establece que la SRS formal aplica a equipos que declaran metodología Cascada. Localito declara Scrum, por lo que este documento registra la no aplicabilidad de ese criterio específico y explica dónde se documentan los requisitos. Esa resolución académica no elimina la ingeniería de requisitos ni implica que Scrum prohíba una SRS.</w:t>
      </w:r>
    </w:p>
    <w:p>
      <w:r>
        <w:t>El proyecto utiliza visión y objetivo, historias y criterios de aceptación, requisitos no funcionales, modelos y pruebas. Este documento consolida una guía para encontrar y revisar esa información, conservando trazabilidad y alcance. No se presenta como una SRS completa conforme a ISO/IEC/IEEE 29148.</w:t>
      </w:r>
    </w:p>
    <w:p>
      <w:pPr>
        <w:pStyle w:val="Heading1"/>
      </w:pPr>
      <w:bookmarkStart w:id="2" w:name="h2"/>
      <w:r>
        <w:t>2 Introducción y alcance de la decisión</w:t>
      </w:r>
      <w:bookmarkEnd w:id="2"/>
    </w:p>
    <w:p>
      <w:r>
        <w:t>La captura de la pauta enumera documentos detectables y condiciona Product Vision, backlogs, DoD, retrospectivas y SRS a la metodología. Para Localito, la justificación consiste en responder a ese criterio sin inventar una obligación adicional. La captura no establece que todos los equipos deban entregar una SRS extensa independientemente de su enfoque.</w:t>
      </w:r>
    </w:p>
    <w:p>
      <w:r>
        <w:t>ISO/IEC/IEEE 29148 trata procesos e información de requisitos y se declara aplicable con independencia de metodología [R7]. Por eso es incorrecto afirmar que una especificación sería incompatible con Scrum. Si el profesor solicita posteriormente una SRS, puede construirse a partir de los mismos requisitos, sin reemplazar la gestión incremental.</w:t>
      </w:r>
    </w:p>
    <w:p>
      <w:pPr>
        <w:pStyle w:val="Heading1"/>
      </w:pPr>
      <w:bookmarkStart w:id="3" w:name="h3"/>
      <w:r>
        <w:t>3 Organización de los requisitos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981"/>
        <w:gridCol w:w="2618"/>
        <w:gridCol w:w="4049"/>
      </w:tblGrid>
      <w:tr>
        <w:trPr>
          <w:tblHeader/>
          <w:cantSplit/>
        </w:trPr>
        <w:tc>
          <w:tcPr>
            <w:tcW w:type="dxa" w:w="2981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Tipo de información</w:t>
            </w:r>
          </w:p>
        </w:tc>
        <w:tc>
          <w:tcPr>
            <w:tcW w:type="dxa" w:w="2618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Documento principal</w:t>
            </w:r>
          </w:p>
        </w:tc>
        <w:tc>
          <w:tcPr>
            <w:tcW w:type="dxa" w:w="4049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Qué debe permitir revisar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Problema y objetivos</w:t>
            </w:r>
          </w:p>
        </w:tc>
        <w:tc>
          <w:tcPr>
            <w:tcW w:type="dxa" w:w="261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Documento de Inicio</w:t>
            </w:r>
          </w:p>
        </w:tc>
        <w:tc>
          <w:tcPr>
            <w:tcW w:type="dxa" w:w="404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Necesidad y alcance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Visión y dirección</w:t>
            </w:r>
          </w:p>
        </w:tc>
        <w:tc>
          <w:tcPr>
            <w:tcW w:type="dxa" w:w="2618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Product Vision</w:t>
            </w:r>
          </w:p>
        </w:tc>
        <w:tc>
          <w:tcPr>
            <w:tcW w:type="dxa" w:w="404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Usuarios y valor esperado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Requisitos funcionales</w:t>
            </w:r>
          </w:p>
        </w:tc>
        <w:tc>
          <w:tcPr>
            <w:tcW w:type="dxa" w:w="2618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Product Backlog</w:t>
            </w:r>
          </w:p>
        </w:tc>
        <w:tc>
          <w:tcPr>
            <w:tcW w:type="dxa" w:w="404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Actor, capacidad y aceptación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Trabajo de iteración</w:t>
            </w:r>
          </w:p>
        </w:tc>
        <w:tc>
          <w:tcPr>
            <w:tcW w:type="dxa" w:w="2618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Sprint Backlog</w:t>
            </w:r>
          </w:p>
        </w:tc>
        <w:tc>
          <w:tcPr>
            <w:tcW w:type="dxa" w:w="404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Objetivo y compromiso vigente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Requisitos de calidad</w:t>
            </w:r>
          </w:p>
        </w:tc>
        <w:tc>
          <w:tcPr>
            <w:tcW w:type="dxa" w:w="2618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</w:t>
            </w:r>
          </w:p>
        </w:tc>
        <w:tc>
          <w:tcPr>
            <w:tcW w:type="dxa" w:w="404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Condición y verificación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Diseño de solución</w:t>
            </w:r>
          </w:p>
        </w:tc>
        <w:tc>
          <w:tcPr>
            <w:tcW w:type="dxa" w:w="261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Arquitectura, datos y UML</w:t>
            </w:r>
          </w:p>
        </w:tc>
        <w:tc>
          <w:tcPr>
            <w:tcW w:type="dxa" w:w="404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Mecanismos y relaciones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Aceptación</w:t>
            </w:r>
          </w:p>
        </w:tc>
        <w:tc>
          <w:tcPr>
            <w:tcW w:type="dxa" w:w="261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Plan de Pruebas y DoD</w:t>
            </w:r>
          </w:p>
        </w:tc>
        <w:tc>
          <w:tcPr>
            <w:tcW w:type="dxa" w:w="404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Caso, resultado y evidencia</w:t>
            </w:r>
          </w:p>
        </w:tc>
      </w:tr>
    </w:tbl>
    <w:p>
      <w:pPr>
        <w:spacing w:after="20"/>
      </w:pPr>
    </w:p>
    <w:p>
      <w:r>
        <w:t>Las rutas de Markdown se mantienen como fuentes del repositorio y los Word amplían su explicación. La captura de un tablero no sustituye criterios de aceptación; un diagrama no sustituye una regla de negocio. Cada documento responde una parte y debe poder enlazarse con los demás.</w:t>
      </w:r>
    </w:p>
    <w:p>
      <w:pPr>
        <w:pStyle w:val="Heading1"/>
      </w:pPr>
      <w:bookmarkStart w:id="4" w:name="h4"/>
      <w:r>
        <w:t>4 Requisitos funcionales y reglas de negocio</w:t>
      </w:r>
      <w:bookmarkEnd w:id="4"/>
    </w:p>
    <w:p>
      <w:r>
        <w:t>Un requisito funcional describe la operación del usuario. Registrar venta incluye seleccionar productos y confirmar. Las reglas agregan restricciones: el producto pertenece al negocio, no está desactivado, hay stock cuando se controla y el total se obtiene del servidor. La historia debe evitar que esos detalles queden implícitos.</w:t>
      </w:r>
    </w:p>
    <w:p>
      <w:r>
        <w:t>El fiado necesita cliente válido, estado de crédito y saldo. Una recepción requiere cantidades y productos permitidos. Los pagos mixtos deben cuadrar con el total. Estas reglas aparecen en la implementación y deben revisarse con el Product Owner. Los criterios desarrollados en esta versión son precisiones propuestas; no se atribuyen a una reunión previa de aceptación.</w:t>
      </w:r>
    </w:p>
    <w:p>
      <w:pPr>
        <w:pStyle w:val="Heading1"/>
      </w:pPr>
      <w:bookmarkStart w:id="5" w:name="h5"/>
      <w:r>
        <w:t>5 Requisitos no funcionales y comprobación</w:t>
      </w:r>
      <w:bookmarkEnd w:id="5"/>
    </w:p>
    <w:p>
      <w:r>
        <w:t>Seguridad, integridad, compatibilidad y operación se expresan como condiciones verificables. Decir que la aplicación es rápida no define una prueba. El documento de RNF añade escenarios y metas propuestas, indicando cuáles no tienen medición. La descripción del código acredita un mecanismo, mientras el resultado depende de su prueba.</w:t>
      </w:r>
    </w:p>
    <w:p>
      <w:r>
        <w:t>Los requisitos de producción deben separar disponibilidad del proveedor y resultado completo del proceso. Que PostgreSQL esté conectado no significa que una venta, IA o restauración haya sido validada. La calidad documental exige conservar esa distinción para que el evaluador no interprete configurado como probado.</w:t>
      </w:r>
    </w:p>
    <w:p>
      <w:pPr>
        <w:pStyle w:val="Heading1"/>
      </w:pPr>
      <w:bookmarkStart w:id="6" w:name="h6"/>
      <w:r>
        <w:t>6 Trazabilidad y cambios</w:t>
      </w:r>
      <w:bookmarkEnd w:id="6"/>
    </w:p>
    <w:p>
      <w:r>
        <w:t>La cadena propuesta es necesidad, historia, diseño, commit y prueba. Cada nuevo requisito debe indicar origen, prioridad y alcance. Si cambia el proveedor visual, se revisan configuración, errores y casos de IA. Si cambia la forma de calcular caja, se revisan operaciones y casos relacionados, además del manual.</w:t>
      </w:r>
    </w:p>
    <w:p>
      <w:r>
        <w:t>Las versiones registran fecha y commit para evitar comparar un resultado antiguo con código diferente. Los estados futuros se mantienen pendientes. No se crean story points, reuniones o métricas históricas ausentes. El detalle nuevo se presenta como refinamiento documental verificable con el equipo.</w:t>
      </w:r>
    </w:p>
    <w:p>
      <w:pPr>
        <w:pStyle w:val="Heading1"/>
      </w:pPr>
      <w:bookmarkStart w:id="7" w:name="h7"/>
      <w:r>
        <w:t>7 Condiciones para una futura SRS formal</w:t>
      </w:r>
      <w:bookmarkEnd w:id="7"/>
    </w:p>
    <w:p>
      <w:r>
        <w:t>Si se exige ese formato, una especificación debería consolidar propósito, contexto, actores, interfaces, requisitos identificados, reglas, atributos de calidad y verificación. Es posible estructurarla usando referencias de ingeniería de requisitos [R7], pero el cumplimiento completo requeriría revisar el texto normativo y la pauta aplicable. No basta con poner el nombre de una norma en la portada.</w:t>
      </w:r>
    </w:p>
    <w:p>
      <w:r>
        <w:t>La consolidación tendría que resolver ambigüedades de permisos, prestaciones por plan, comportamiento offline y pagos externos. También conservaría exclusiones tributarias y diferencias entre implementación y evidencia. Los documentos actuales aportan insumos para esa tarea, sin afirmar que ya exista una SRS certificada.</w:t>
      </w:r>
    </w:p>
    <w:p>
      <w:pPr>
        <w:pStyle w:val="Heading1"/>
      </w:pPr>
      <w:bookmarkStart w:id="8" w:name="h8"/>
      <w:r>
        <w:t>8 Conclusiones</w:t>
      </w:r>
      <w:bookmarkEnd w:id="8"/>
    </w:p>
    <w:p>
      <w:r>
        <w:t>El criterio SRS no aplica según la metodología y la pauta recibida. Localito sí documenta y verifica requisitos a través de sus artefactos. La justificación se limita a la evaluación académica y mantiene abierta la posibilidad de consolidarlos en una especificación formal si se solicita.</w:t>
      </w:r>
    </w:p>
    <w:p>
      <w:pPr>
        <w:pStyle w:val="Heading1"/>
      </w:pPr>
      <w:bookmarkStart w:id="9" w:name="h9"/>
      <w:r>
        <w:t>9 Referencias y evidencia de la versión</w:t>
      </w:r>
      <w:bookmarkEnd w:id="9"/>
    </w:p>
    <w:p>
      <w:r>
        <w:t>Las referencias externas fundamentan conceptos y organización. La descripción específica de Localito procede del repositorio. Se consultaron fuentes públicas el 03 de octubre de 2026. Las fichas públicas ISO se utilizan para alcance y orientación, sin atribuir acceso al texto normativo completo ni conformidad certificada.</w:t>
      </w:r>
    </w:p>
    <w:p>
      <w:r>
        <w:t xml:space="preserve">[R7] ISO IEC IEEE 2018. 29148 Requirements engineering resumen público. </w:t>
      </w:r>
      <w:hyperlink r:id="rId11">
        <w:r>
          <w:rPr>
            <w:color w:val="000000"/>
          </w:rPr>
          <w:t xml:space="preserve">https://www.iso.org/standard/72089.html</w:t>
        </w:r>
      </w:hyperlink>
    </w:p>
    <w:p>
      <w:r>
        <w:t xml:space="preserve">[P] Equipo Localito. Repositorio LocalitoSaaS. Commit base 05a6f34b749cdc97dd560d91bb9be057a1197fbf. </w:t>
      </w:r>
      <w:hyperlink r:id="rId12">
        <w:r>
          <w:rPr>
            <w:color w:val="000000"/>
          </w:rPr>
          <w:t xml:space="preserve">https://github.com/CamiloGonzalezSt/LocalitoSaaS/tree/05a6f34b749cdc97dd560d91bb9be057a1197fbf</w:t>
        </w:r>
      </w:hyperlink>
    </w:p>
    <w:p>
      <w:r>
        <w:t>Fuentes internas revisadas: README.md; package.json y manifests de apps; apps/api/src/server.ts, repository.ts y auth.ts; db/schema.sql; apps/web/src/lib/offline.ts y workspaceCache.ts; docs de requisitos, calidad, operación y Scrum. La revisión es documental y estática. No crea resultados de pruebas funcionales, reuniones ni aceptación de usuario.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LOCALITO   |   Aplicabilidad de SRS y gestión de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648" w:val="right" w:leader="dot"/>
      </w:tabs>
      <w:spacing w:after="100" w:line="254" w:lineRule="auto"/>
      <w:ind w:left="0"/>
    </w:pPr>
    <w:rPr>
      <w:rFonts w:ascii="Calibri" w:hAnsi="Calibri"/>
      <w:color w:val="000000"/>
      <w:sz w:val="21"/>
    </w:rPr>
  </w:style>
  <w:style w:type="paragraph" w:customStyle="1" w:styleId="TOC2">
    <w:name w:val="TOC 2"/>
    <w:pPr>
      <w:tabs>
        <w:tab w:pos="9648" w:val="right" w:leader="dot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widowControl/>
      <w:spacing w:line="252" w:lineRule="auto" w:after="40" w:before="0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so.org/standard/72089.html" TargetMode="External"/><Relationship Id="rId12" Type="http://schemas.openxmlformats.org/officeDocument/2006/relationships/hyperlink" Target="https://github.com/CamiloGonzalezSt/LocalitoSaaS/tree/05a6f34b749cdc97dd560d91bb9be057a1197fb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Aplicabilidad de SRS y gestión de requisitos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