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2937"/>
          <w:sz w:val="48"/>
        </w:rPr>
        <w:t>KPI y KRI de procesos – Localito</w:t>
      </w:r>
    </w:p>
    <w:p>
      <w:pPr>
        <w:jc w:val="center"/>
      </w:pPr>
      <w:r>
        <w:rPr>
          <w:rFonts w:ascii="Arial" w:hAnsi="Arial"/>
          <w:color w:val="64748B"/>
          <w:sz w:val="24"/>
        </w:rPr>
        <w:t>Indicadores propuestos, medibles y pendientes de línea base</w:t>
      </w:r>
    </w:p>
    <w:p>
      <w:pPr>
        <w:spacing w:before="560"/>
        <w:jc w:val="center"/>
      </w:pPr>
      <w:r>
        <w:rPr>
          <w:rFonts w:ascii="Arial" w:hAnsi="Arial"/>
          <w:b/>
          <w:color w:val="1F6F5F"/>
          <w:sz w:val="22"/>
        </w:rPr>
        <w:t>Proyecto de Título / Capstone · Ingeniería en Informática</w:t>
      </w:r>
    </w:p>
    <w:p>
      <w:pPr>
        <w:jc w:val="center"/>
      </w:pPr>
      <w:r>
        <w:rPr>
          <w:sz w:val="20"/>
        </w:rPr>
        <w:t>Equipo: Camilo González · Alexander Patiño · Samuel Solís</w:t>
        <w:br/>
        <w:t>Agosto–diciembre de 2026</w:t>
      </w:r>
    </w:p>
    <w:p>
      <w:r>
        <w:br w:type="page"/>
      </w:r>
    </w:p>
    <w:p>
      <w:pPr>
        <w:pStyle w:val="Heading1"/>
      </w:pPr>
      <w:r>
        <w:t>1. Criterio de medición</w:t>
      </w:r>
    </w:p>
    <w:p>
      <w:pPr>
        <w:jc w:val="both"/>
      </w:pPr>
      <w:r>
        <w:t>Un indicador solo es útil si puede explicarse cómo se calcula y de dónde salen sus datos. En Localito se separan tres situaciones: métricas ya derivables del sistema, métricas parcialmente verificables mediante pruebas y métricas que requieren una línea base con usuarios o comercios representativos. No se asignan resultados ficticios para completar el informe.</w:t>
      </w:r>
    </w:p>
    <w:p>
      <w:pPr>
        <w:pStyle w:val="Heading1"/>
      </w:pPr>
      <w:r>
        <w:t>2.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Proceso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Uso y estado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KPI-01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Venta y cobro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Tiempo promedio de completar una venta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Requiere cronometraje o instrumentación de inicio y fin. La primera medición debe usarse como línea base; no se fija una reducción porcentual sin datos.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KPI-02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Venta y cobro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Tasa de ventas duplicadas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meta funcional es 0 %. La idempotencia y la auditoría permiten verificar que una misma operación no descuente stock dos veces.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KPI-03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Caja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Porcentaje de cierres sin diferencia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Puede calcularse desde los cierres registrados. El objetivo concreto debe acordarse con un negocio real después de observar su operación.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KPI-04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Fiado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Porcentaje de deuda vencida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Saldo vencido dividido por saldo total fiado. Necesita un período de uso real para que sea representativo.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KPI-05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Inventario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Porcentaje de productos bajo mínimo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obtiene desde inventario y sirve para seguir tendencia. Depende de que los mínimos estén bien configurados.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KPI-06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Factura IA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Porcentaje de líneas aceptadas sin corrección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Debe medirse sobre una muestra controlada. No se presenta como precisión real mientras no exista esa muestra.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KPI-07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Venta Rápida IA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Porcentaje de detecciones confirmadas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Permite conocer cuánto corrige el vendedor. Debe segmentarse por tipo de producto para que la lectura sea útil.</w:t>
            </w:r>
          </w:p>
        </w:tc>
      </w:tr>
    </w:tbl>
    <w:p>
      <w:pPr>
        <w:pStyle w:val="Heading1"/>
      </w:pPr>
      <w:r>
        <w:t>3. KRI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Proceso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Indicador de riesgo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Uso y estado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KRI-01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Continuidad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Ventas pendientes o rechazadas en sincronización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 rechazo persistente exige revisión. El panel ya expone los tickets y sus errores por cuenta.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KRI-02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Caja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Diferencia absoluta de caja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|contado - esperado|. El umbral aceptable depende de la política del negocio; el sistema entrega el valor para tomar acción.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KRI-03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Tasa de errores de proveedor o cuota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Las respuestas de error y límites 429 son una señal de dependencia externa. Falta consolidación histórica para convertirlo en tendencia.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KRI-04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Inventario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Frecuencia de quiebres de stock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Mide cuántas veces el negocio llega a stock agotado. Requiere observación temporal; no equivale a un pronóstico.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KRI-05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Seguridad / SaaS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Credenciales o secretos expuestos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condición aceptable es cero hallazgos activos. La mitigación exige rotación, no solo retirar texto visible.</w:t>
            </w:r>
          </w:p>
        </w:tc>
      </w:tr>
    </w:tbl>
    <w:p>
      <w:pPr>
        <w:pStyle w:val="Heading1"/>
      </w:pPr>
      <w:r>
        <w:t>4. Indicadores que deben levantarse con usuarios</w:t>
      </w:r>
    </w:p>
    <w:p>
      <w:pPr>
        <w:jc w:val="both"/>
      </w:pPr>
      <w:r>
        <w:t>El tiempo de venta, la tasa de corrección de IA y la percepción de facilidad de uso no deberían salir de una estimación del equipo. Para convertirlos en evidencia de tesis, se necesita una muestra definida, un protocolo simple y el mismo escenario para cada participante. El resultado de esa medición puede utilizarse después para refinar el Product Backlog.</w:t>
      </w:r>
    </w:p>
    <w:p>
      <w:pPr>
        <w:pStyle w:val="Heading1"/>
      </w:pPr>
      <w:r>
        <w:t>5. Lectura de resultados</w:t>
      </w:r>
    </w:p>
    <w:p>
      <w:pPr>
        <w:jc w:val="both"/>
      </w:pPr>
      <w:r>
        <w:t>Los KPI muestran si el proceso se acerca al resultado esperado; los KRI alertan que una condición puede comprometerlo. Por ejemplo, una venta puede ser rápida y aun así existir un riesgo elevado si quedan tickets rechazados sin resolver. Por eso ambos grupos deben revisarse en conjunto.</w:t>
      </w:r>
    </w:p>
    <w:p>
      <w:pPr>
        <w:pStyle w:val="Heading1"/>
      </w:pPr>
      <w:r>
        <w:t>Fuentes académicas y técnicas utilizadas</w:t>
      </w:r>
    </w:p>
    <w:p>
      <w:pPr>
        <w:pStyle w:val="ListBullet"/>
      </w:pPr>
      <w:r>
        <w:t>Duoc UC, ASY5131 Integración de Plataformas: presentación “Construyendo diagrama BPMN”. La asignatura aborda BPM como disciplina de modelado, control, medición y optimización, y BPMN como notación común para representar procesos.</w:t>
      </w:r>
    </w:p>
    <w:p>
      <w:pPr>
        <w:pStyle w:val="ListBullet"/>
      </w:pPr>
      <w:r>
        <w:t>Duoc UC, Guía 1.3 “Actividad Formativa Construyendo diagrama BPMN – Sesión 2”. La guía solicita analizar el caso, construir el flujo BPMN, documentar la actividad y exponer el análisis.</w:t>
      </w:r>
    </w:p>
    <w:p>
      <w:pPr>
        <w:pStyle w:val="ListBullet"/>
      </w:pPr>
      <w:r>
        <w:t>Trabajo previo del equipo “Desarrollo y Mejora de la Venta Digital y Gestión de Aforo en Cine Júpiter”, usado como referencia de estructura para propósito, alcance, AS-IS, TO-BE, riesgos, KPI y KRI.</w:t>
      </w:r>
    </w:p>
    <w:p>
      <w:pPr>
        <w:pStyle w:val="ListBullet"/>
      </w:pPr>
      <w:r>
        <w:t>Repositorio LocalitoSaaS: alcance de tesis, backlog Scrum/Jira y estado actual al 9 de septiembre de 2026. Estos documentos se utilizan como fuente técnica para describir el TO-BE real y sus pendientes.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 |  Documentación BPM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