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a458d1290b6e4d7ce96f7f3c368517460d956e"/>
    <w:p>
      <w:pPr>
        <w:pStyle w:val="Heading1"/>
      </w:pPr>
      <w:r>
        <w:t xml:space="preserve">Estrategia de pruebas — Arquitectura con API Gateway</w:t>
      </w:r>
    </w:p>
    <w:p>
      <w:pPr>
        <w:pStyle w:val="FirstParagraph"/>
      </w:pPr>
      <w:r>
        <w:rPr>
          <w:bCs/>
          <w:b/>
        </w:rPr>
        <w:t xml:space="preserve">Grupo 4</w:t>
      </w:r>
      <w:r>
        <w:t xml:space="preserve"> </w:t>
      </w:r>
      <w:r>
        <w:t xml:space="preserve">· Maria Paulina Vargas Lenis · Camilo Ospina Hernández · César Augusto Barrientos · Valeria García Ocampo</w:t>
      </w:r>
      <w:r>
        <w:t xml:space="preserve"> </w:t>
      </w:r>
      <w:r>
        <w:rPr>
          <w:bCs/>
          <w:b/>
        </w:rPr>
        <w:t xml:space="preserve">Tema 4:</w:t>
      </w:r>
      <w:r>
        <w:t xml:space="preserve"> </w:t>
      </w:r>
      <w:r>
        <w:t xml:space="preserve">Pruebas de una arquitectura con API Gateway — enrutamiento y control centralizado de solicitudes</w:t>
      </w:r>
    </w:p>
    <w:p>
      <w:r>
        <w:pict>
          <v:rect style="width:0;height:1.5pt" o:hralign="center" o:hrstd="t" o:hr="t"/>
        </w:pict>
      </w:r>
    </w:p>
    <w:bookmarkStart w:id="20" w:name="objetivo-de-las-pruebas"/>
    <w:p>
      <w:pPr>
        <w:pStyle w:val="Heading2"/>
      </w:pPr>
      <w:r>
        <w:t xml:space="preserve">1. Objetivo de las pruebas</w:t>
      </w:r>
    </w:p>
    <w:p>
      <w:pPr>
        <w:pStyle w:val="FirstParagraph"/>
      </w:pPr>
      <w:r>
        <w:t xml:space="preserve">Verificar que el API Gateway funciona como</w:t>
      </w:r>
      <w:r>
        <w:t xml:space="preserve"> </w:t>
      </w:r>
      <w:r>
        <w:rPr>
          <w:bCs/>
          <w:b/>
        </w:rPr>
        <w:t xml:space="preserve">punto único de entrada</w:t>
      </w:r>
      <w:r>
        <w:t xml:space="preserve">: que enruta cada solicitud al servicio correcto, que valida las solicitudes antes de que lleguen a los servicios y que responde de forma controlada cuando una ruta no existe o un servicio no está disponible o es lento. También se valida un flujo de negocio completo (crear y consultar un pedido) de extremo a extremo a través del gateway.</w:t>
      </w:r>
    </w:p>
    <w:bookmarkEnd w:id="20"/>
    <w:bookmarkStart w:id="21" w:name="componentes-incluidos"/>
    <w:p>
      <w:pPr>
        <w:pStyle w:val="Heading2"/>
      </w:pPr>
      <w:r>
        <w:t xml:space="preserve">2. Componentes incluidos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Kong 3.9 en modo DB-less (config. declarativa</w:t>
            </w:r>
            <w:r>
              <w:t xml:space="preserve"> </w:t>
            </w:r>
            <w:r>
              <w:rPr>
                <w:rStyle w:val="VerbatimChar"/>
              </w:rPr>
              <w:t xml:space="preserve">kong.yml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Enrutamiento, autenticación por API key, límite de tráfico, límite de tamaño, timeouts, trazabilidad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20 +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productos (consulta)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20 +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y consulta de pedidos; consulta a Productos para validar existencia, precio y stock</w:t>
            </w:r>
          </w:p>
        </w:tc>
      </w:tr>
    </w:tbl>
    <w:bookmarkEnd w:id="21"/>
    <w:bookmarkStart w:id="22" w:name="puntos-de-integración-que-se-validan"/>
    <w:p>
      <w:pPr>
        <w:pStyle w:val="Heading2"/>
      </w:pPr>
      <w:r>
        <w:t xml:space="preserve">3. Puntos de integración que se validan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de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puede fallar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→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Solicitudes sin credencial, rutas inexistentes, exceso de tráfico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→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 incorrecto, servicio lento (timeout)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→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 incorrecto, servicio caído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 →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inexistente, datos inconsistentes (precio/total)</w:t>
            </w:r>
          </w:p>
        </w:tc>
      </w:tr>
    </w:tbl>
    <w:bookmarkEnd w:id="22"/>
    <w:bookmarkStart w:id="23" w:name="riesgos-identificados"/>
    <w:p>
      <w:pPr>
        <w:pStyle w:val="Heading2"/>
      </w:pPr>
      <w:r>
        <w:t xml:space="preserve">4. Riesgos identificados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que lo cubre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gateway envía la solicitud al servicio equivocado o con la ruta mal reescrita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Alto: respuestas incorrectas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CP-01, CP-02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Solicitudes no autenticadas llegan a los servicios internos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Alto: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no configuradas exponen comportamientos inesperados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inválidos atraviesan el gateway y el error no se propaga correctamente al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CP-05, CP-06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flujo de negocio se rompe al pasar por el gateway (p. ej. pérdida del cuerpo o de cabeceras)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caída de un servicio tumba todo el sistema (falla en cascada)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Alto: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servicio lento deja al cliente esperando indefinidamente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Alto: 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cliente satura los servicios con demasiadas solicitudes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CP-10</w:t>
            </w:r>
          </w:p>
        </w:tc>
      </w:tr>
    </w:tbl>
    <w:bookmarkEnd w:id="23"/>
    <w:bookmarkStart w:id="24" w:name="alcance-y-exclusiones"/>
    <w:p>
      <w:pPr>
        <w:pStyle w:val="Heading2"/>
      </w:pPr>
      <w:r>
        <w:t xml:space="preserve">5. Alcance y exclusiones</w:t>
      </w:r>
    </w:p>
    <w:p>
      <w:pPr>
        <w:pStyle w:val="FirstParagraph"/>
      </w:pPr>
      <w:r>
        <w:rPr>
          <w:bCs/>
          <w:b/>
        </w:rPr>
        <w:t xml:space="preserve">Incluye:</w:t>
      </w:r>
      <w:r>
        <w:t xml:space="preserve"> </w:t>
      </w:r>
      <w:r>
        <w:t xml:space="preserve">enrutamiento, autenticación por API key, rutas inexistentes, validación de datos, propagación de errores, flujo completo de pedido, caída de servicio, timeout y límite de tráfico.</w:t>
      </w:r>
    </w:p>
    <w:p>
      <w:pPr>
        <w:pStyle w:val="BodyText"/>
      </w:pPr>
      <w:r>
        <w:rPr>
          <w:bCs/>
          <w:b/>
        </w:rPr>
        <w:t xml:space="preserve">Excluye:</w:t>
      </w:r>
      <w:r>
        <w:t xml:space="preserve"> </w:t>
      </w:r>
      <w:r>
        <w:t xml:space="preserve">pruebas de carga o estrés (son el tema 15), seguridad avanzada (OAuth/JWT, pruebas de penetración), persistencia en base de datos (los datos viven en memoria), alta disponibilidad y balanceo entre réplicas, despliegue en nube.</w:t>
      </w:r>
    </w:p>
    <w:bookmarkEnd w:id="24"/>
    <w:bookmarkStart w:id="25" w:name="ambiente-necesario"/>
    <w:p>
      <w:pPr>
        <w:pStyle w:val="Heading2"/>
      </w:pPr>
      <w:r>
        <w:t xml:space="preserve">6. Ambiente necesario</w:t>
      </w:r>
    </w:p>
    <w:p>
      <w:pPr>
        <w:numPr>
          <w:ilvl w:val="0"/>
          <w:numId w:val="1001"/>
        </w:numPr>
        <w:pStyle w:val="Compact"/>
      </w:pPr>
      <w:r>
        <w:t xml:space="preserve">Equipo local con Docker Desktop y Node.js 20+.</w:t>
      </w:r>
    </w:p>
    <w:p>
      <w:pPr>
        <w:numPr>
          <w:ilvl w:val="0"/>
          <w:numId w:val="1001"/>
        </w:numPr>
        <w:pStyle w:val="Compact"/>
      </w:pPr>
      <w:r>
        <w:t xml:space="preserve">Tres contenedores en una red interna de Docker: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(puertos 8000 proxy y 8001 administración),</w:t>
      </w:r>
      <w:r>
        <w:t xml:space="preserve"> </w:t>
      </w:r>
      <w:r>
        <w:rPr>
          <w:rStyle w:val="VerbatimChar"/>
        </w:rPr>
        <w:t xml:space="preserve">productos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pedidos</w:t>
      </w:r>
      <w:r>
        <w:t xml:space="preserve"> </w:t>
      </w:r>
      <w:r>
        <w:t xml:space="preserve">(sin puertos expuestos).</w:t>
      </w:r>
    </w:p>
    <w:p>
      <w:pPr>
        <w:numPr>
          <w:ilvl w:val="0"/>
          <w:numId w:val="1001"/>
        </w:numPr>
        <w:pStyle w:val="Compact"/>
      </w:pPr>
      <w:r>
        <w:t xml:space="preserve">Newman 6 + reporter htmlextra para la ejecución automatizada; Postman para la demostración visual.</w:t>
      </w:r>
    </w:p>
    <w:bookmarkEnd w:id="25"/>
    <w:bookmarkStart w:id="26" w:name="datos-de-prueba"/>
    <w:p>
      <w:pPr>
        <w:pStyle w:val="Heading2"/>
      </w:pPr>
      <w:r>
        <w:t xml:space="preserve">7. Datos de prueba</w:t>
      </w:r>
    </w:p>
    <w:p>
      <w:pPr>
        <w:pStyle w:val="FirstParagraph"/>
      </w:pPr>
      <w:r>
        <w:t xml:space="preserve">Datos ficticios en memoria: API key</w:t>
      </w:r>
      <w:r>
        <w:t xml:space="preserve"> </w:t>
      </w:r>
      <w:r>
        <w:rPr>
          <w:rStyle w:val="VerbatimChar"/>
        </w:rPr>
        <w:t xml:space="preserve">clave-grupo4-2026</w:t>
      </w:r>
      <w:r>
        <w:t xml:space="preserve">; productos id 1 (stock 10, $180.000), id 2 (stock 25), id 3 (stock 0); id 99 inexistente. No se usa información real ni personal.</w:t>
      </w:r>
    </w:p>
    <w:bookmarkEnd w:id="26"/>
    <w:bookmarkStart w:id="27" w:name="dependencias-reales-y-simuladas"/>
    <w:p>
      <w:pPr>
        <w:pStyle w:val="Heading2"/>
      </w:pPr>
      <w:r>
        <w:t xml:space="preserve">8. Dependencias reales y simuladas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/ simulada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Kong, Productos,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Contenedores funcionando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Caída de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real inducida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stop pedidos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Lentitud de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Simulada (inyección de falla)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</w:t>
            </w:r>
            <w:r>
              <w:t xml:space="preserve"> </w:t>
            </w:r>
            <w:r>
              <w:rPr>
                <w:rStyle w:val="VerbatimChar"/>
              </w:rPr>
              <w:t xml:space="preserve">?demoraMs=5000</w:t>
            </w:r>
            <w:r>
              <w:t xml:space="preserve"> </w:t>
            </w:r>
            <w:r>
              <w:t xml:space="preserve">que retrasa la respuesta del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Arreglos en memoria</w:t>
            </w:r>
          </w:p>
        </w:tc>
      </w:tr>
    </w:tbl>
    <w:bookmarkEnd w:id="27"/>
    <w:bookmarkStart w:id="28" w:name="estrategia-de-integración"/>
    <w:p>
      <w:pPr>
        <w:pStyle w:val="Heading2"/>
      </w:pPr>
      <w:r>
        <w:t xml:space="preserve">9. Estrategia de integración</w:t>
      </w:r>
    </w:p>
    <w:p>
      <w:pPr>
        <w:pStyle w:val="FirstParagraph"/>
      </w:pPr>
      <w:r>
        <w:t xml:space="preserve">Se usa un enfoque</w:t>
      </w:r>
      <w:r>
        <w:t xml:space="preserve"> </w:t>
      </w:r>
      <w:r>
        <w:rPr>
          <w:bCs/>
          <w:b/>
        </w:rPr>
        <w:t xml:space="preserve">incremental ascendente (bottom-up)</w:t>
      </w:r>
      <w:r>
        <w:t xml:space="preserve">: primero se verifica cada servicio aislado (health check), luego cada ruta del gateway por separado (PI-2, PI-3), después la integración entre servicios (PI-4) y al final el flujo completo como prueba de sistema. Se descartó el enfoque</w:t>
      </w:r>
      <w:r>
        <w:t xml:space="preserve"> </w:t>
      </w:r>
      <w:r>
        <w:rPr>
          <w:iCs/>
          <w:i/>
        </w:rPr>
        <w:t xml:space="preserve">big bang</w:t>
      </w:r>
      <w:r>
        <w:t xml:space="preserve"> </w:t>
      </w:r>
      <w:r>
        <w:t xml:space="preserve">porque, si todo se prueba junto y falla, no se sabe si el problema está en el gateway, en la ruta o en el servicio.</w:t>
      </w:r>
    </w:p>
    <w:bookmarkEnd w:id="28"/>
    <w:bookmarkStart w:id="29" w:name="herramientas"/>
    <w:p>
      <w:pPr>
        <w:pStyle w:val="Heading2"/>
      </w:pPr>
      <w:r>
        <w:t xml:space="preserve">10. Herramientas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Levantar y detener componentes (inducir fallas)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Kong Admin API (</w:t>
            </w:r>
            <w:r>
              <w:rPr>
                <w:rStyle w:val="VerbatimChar"/>
              </w:rPr>
              <w:t xml:space="preserve">:8001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servicios, rutas y plugins cargados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y ejecución visual de los casos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Newman + htmlextra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automatizada por línea de comandos y reporte HTML como 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PowerShell / Bash + 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de límite de tráfico y captura de logs</w:t>
            </w:r>
          </w:p>
        </w:tc>
      </w:tr>
    </w:tbl>
    <w:bookmarkEnd w:id="29"/>
    <w:bookmarkStart w:id="30" w:name="criterios-de-aprobación"/>
    <w:p>
      <w:pPr>
        <w:pStyle w:val="Heading2"/>
      </w:pPr>
      <w:r>
        <w:t xml:space="preserve">11. Criterios de aprobación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Aprobado:</w:t>
      </w:r>
      <w:r>
        <w:t xml:space="preserve"> </w:t>
      </w:r>
      <w:r>
        <w:t xml:space="preserve">el código HTTP y el cuerpo de la respuesta coinciden con el resultado esperado, y todas las aserciones del caso pasan en Newman.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Fallido:</w:t>
      </w:r>
      <w:r>
        <w:t xml:space="preserve"> </w:t>
      </w:r>
      <w:r>
        <w:t xml:space="preserve">cualquier aserción falla, el código HTTP es distinto al esperado o la respuesta tarda más del límite definido.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Criterio de salida de la suite:</w:t>
      </w:r>
      <w:r>
        <w:t xml:space="preserve"> </w:t>
      </w:r>
      <w:r>
        <w:t xml:space="preserve">100 % de los casos automatizados aprobados, y la recuperación verificada después de las fallas inducidas.</w:t>
      </w:r>
    </w:p>
    <w:p>
      <w:r>
        <w:pict>
          <v:rect style="width:0;height:1.5pt" o:hralign="center" o:hrstd="t" o:hr="t"/>
        </w:pict>
      </w:r>
    </w:p>
    <w:bookmarkEnd w:id="30"/>
    <w:bookmarkStart w:id="31" w:name="matriz-de-casos-de-prueba"/>
    <w:p>
      <w:pPr>
        <w:pStyle w:val="Heading2"/>
      </w:pPr>
      <w:r>
        <w:t xml:space="preserve">12. Matriz de casos de prueba</w:t>
      </w:r>
    </w:p>
    <w:p>
      <w:pPr>
        <w:pStyle w:val="FirstParagraph"/>
      </w:pPr>
      <w:r>
        <w:t xml:space="preserve">Resumen (el detalle completo de cada caso está en</w:t>
      </w:r>
      <w:r>
        <w:t xml:space="preserve"> </w:t>
      </w:r>
      <w:r>
        <w:rPr>
          <w:rStyle w:val="VerbatimChar"/>
        </w:rPr>
        <w:t xml:space="preserve">matriz-casos-de-prueba.xlsx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 a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(Newman)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lista de productos + cabecera X-Request-ID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 a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(Newman)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arreglo de pedidos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sin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(validación)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(Newman)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generado por Kong; el servicio nunca recibe la solicitud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no registrada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(Newman)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  <w:r>
              <w:t xml:space="preserve"> </w:t>
            </w:r>
            <w:r>
              <w:t xml:space="preserve">“</w:t>
            </w:r>
            <w:r>
              <w:t xml:space="preserve">no Route matched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con datos inválidos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(error funcional)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(Newman)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DATOS_INVALIDOS propagado por el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de producto 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(error funcional)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(Newman)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 PRODUCTO_NO_EXISTE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completo crear y consultar pedido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(Newman)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con total 360000 y luego 200 con el mismo pedido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Pedidos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(falla técnica)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(Newman + 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502/503/504 controlado de Kong y Productos sigue en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del servicio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(falla técnica)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(Newman)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 en ~3 s (no espera los 5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tráfico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Primeras ~5 solicitudes en 200 y el resto en 429</w:t>
            </w:r>
          </w:p>
        </w:tc>
      </w:tr>
    </w:tbl>
    <w:p>
      <w:pPr>
        <w:pStyle w:val="BodyText"/>
      </w:pPr>
      <w:r>
        <w:t xml:space="preserve">Cumplimiento de la guía: casos exitosos (CP-01, CP-02, CP-07), datos inválidos (CP-05), errores funcionales (CP-03, CP-04, CP-06), fallas técnicas o de integración (CP-08, CP-09) y validación del comportamiento del sistema (CP-07, CP-10).</w:t>
      </w:r>
    </w:p>
    <w:p>
      <w:r>
        <w:pict>
          <v:rect style="width:0;height:1.5pt" o:hralign="center" o:hrstd="t" o:hr="t"/>
        </w:pict>
      </w:r>
    </w:p>
    <w:bookmarkEnd w:id="31"/>
    <w:bookmarkStart w:id="34" w:name="análisis-de-resultados"/>
    <w:p>
      <w:pPr>
        <w:pStyle w:val="Heading2"/>
      </w:pPr>
      <w:r>
        <w:t xml:space="preserve">13. Análisis de resultados</w:t>
      </w:r>
    </w:p>
    <w:p>
      <w:pPr>
        <w:pStyle w:val="FirstParagraph"/>
      </w:pPr>
      <w:r>
        <w:t xml:space="preserve">Ejecución del 2 de octubre de 2026 en Windows con Docker Desktop, Kong 3.9.3 y Newman.</w:t>
      </w:r>
      <w:r>
        <w:t xml:space="preserve"> </w:t>
      </w:r>
      <w:r>
        <w:rPr>
          <w:bCs/>
          <w:b/>
        </w:rPr>
        <w:t xml:space="preserve">10 de 10 casos aprobados</w:t>
      </w:r>
      <w:r>
        <w:t xml:space="preserve">; 1 hallazgo registrado (H-01).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OK en 264 ms; 3 productos; cabecera X-Request-ID 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reporte-funcional.html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OK en 169 ms; arreglo vacío (aún sin pedidos); X-Kong-Upstream-Latency 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reporte-funcional.html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en 20 ms,</w:t>
            </w:r>
            <w:r>
              <w:t xml:space="preserve"> </w:t>
            </w:r>
            <w:r>
              <w:t xml:space="preserve">“</w:t>
            </w:r>
            <w:r>
              <w:t xml:space="preserve">No API key found in request</w:t>
            </w:r>
            <w:r>
              <w:t xml:space="preserve">”</w:t>
            </w:r>
            <w:r>
              <w:t xml:space="preserve">; el log de Productos no registra la 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reporte-funcional.html + log-servicios.txt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404,</w:t>
            </w:r>
            <w:r>
              <w:t xml:space="preserve"> </w:t>
            </w:r>
            <w:r>
              <w:t xml:space="preserve">“</w:t>
            </w:r>
            <w:r>
              <w:t xml:space="preserve">no Route matched with those values</w:t>
            </w:r>
            <w:r>
              <w:t xml:space="preserve">”</w:t>
            </w:r>
            <w:r>
              <w:t xml:space="preserve">; sin X-Powered-By ni X-Kong-Upstream-Latency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reporte-funcional.html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DATOS_INVALIDOS propagado por el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reporte-funcional.html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 PRODUCTO_NO_EXISTE; Pedidos consultó a Productos (404) y lo tradujo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reporte-funcional.html + log-servicios.txt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con total 360000 y estado CREADO; luego 200 con el mismo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reporte-funcional.html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 en 2,09 s (connect_timeout) y Productos en 200; recuperación correcta. Ver 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 (tras H-01)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reporte-servicio-caido.html + log-gateway.txt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 en 3,03 s; Kong cortó en el read_timeout sin esperar los 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reporte-funcional.html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×5 y 429 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resultado-rate-limit.txt</w:t>
            </w:r>
          </w:p>
        </w:tc>
      </w:tr>
    </w:tbl>
    <w:p>
      <w:pPr>
        <w:pStyle w:val="BodyText"/>
      </w:pPr>
      <w:r>
        <w:t xml:space="preserve">Totales de Newman: corrida funcional 9 solicitudes, 20 aserciones, 0 fallidas (3,8 s); corrida de servicio caído 2 solicitudes, 3 aserciones, 0 fallidas.</w:t>
      </w:r>
    </w:p>
    <w:bookmarkStart w:id="32" w:name="hallazgos-y-gestión-de-defectos"/>
    <w:p>
      <w:pPr>
        <w:pStyle w:val="Heading3"/>
      </w:pPr>
      <w:r>
        <w:t xml:space="preserve">Hallazgos y gestión de defectos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primera ejecución de CP-08, Kong respondió 503</w:t>
            </w:r>
            <w:r>
              <w:t xml:space="preserve"> </w:t>
            </w:r>
            <w:r>
              <w:t xml:space="preserve">“</w:t>
            </w:r>
            <w:r>
              <w:t xml:space="preserve">name resolution failed</w:t>
            </w:r>
            <w:r>
              <w:t xml:space="preserve">”</w:t>
            </w:r>
            <w:r>
              <w:t xml:space="preserve"> </w:t>
            </w:r>
            <w:r>
              <w:t xml:space="preserve">en 12,08 s, por encima del criterio de 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detener el contenedor, el DNS interno de Docker deja de resolver</w:t>
            </w:r>
            <w:r>
              <w:t xml:space="preserve"> </w:t>
            </w:r>
            <w:r>
              <w:rPr>
                <w:rStyle w:val="VerbatimChar"/>
              </w:rPr>
              <w:t xml:space="preserve">pedidos</w:t>
            </w:r>
            <w:r>
              <w:t xml:space="preserve">; Kong espera al resolvedor DNS antes de fallar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Media: el cliente espera 12 s ante una caída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Registrado. En la repetición respondió 504 en 2,09 s (IP en caché, corta el connect_timeout). Mejora propuesta: ajustar los tiempos del resolvedor DNS de Kong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 bucle manual de CP-10 salió 200 ×5, 429 ×3, 200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bucle con curl.exe tardó más de 1 s y abrió una nueva ventana de conteo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usa el script automatizado, que envía las 10 solicitudes dentro del mismo segundo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log del gateway muestra solicitudes ajenas (</w:t>
            </w:r>
            <w:r>
              <w:rPr>
                <w:rStyle w:val="VerbatimChar"/>
              </w:rPr>
              <w:t xml:space="preserve">/notifications/unread-count</w:t>
            </w:r>
            <w:r>
              <w:t xml:space="preserve"> </w:t>
            </w:r>
            <w:r>
              <w:t xml:space="preserve">→ 404)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Otra aplicación abierta en el navegador (localhost:3000) llamaba al puerto 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defecto del 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otras aplicaciones antes de la demo. Muestra que Kong rechaza con 404 cualquier ruta no configurada</w:t>
            </w:r>
          </w:p>
        </w:tc>
      </w:tr>
    </w:tbl>
    <w:bookmarkEnd w:id="32"/>
    <w:bookmarkStart w:id="33" w:name="interpretación"/>
    <w:p>
      <w:pPr>
        <w:pStyle w:val="Heading3"/>
      </w:pPr>
      <w:r>
        <w:t xml:space="preserve">Interpretación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 gateway valida en el borde.</w:t>
      </w:r>
      <w:r>
        <w:t xml:space="preserve"> </w:t>
      </w:r>
      <w:r>
        <w:t xml:space="preserve">En CP-03 y CP-04 la respuesta no trae</w:t>
      </w:r>
      <w:r>
        <w:t xml:space="preserve"> </w:t>
      </w:r>
      <w:r>
        <w:rPr>
          <w:rStyle w:val="VerbatimChar"/>
        </w:rPr>
        <w:t xml:space="preserve">X-Kong-Upstream-Latency</w:t>
      </w:r>
      <w:r>
        <w:t xml:space="preserve"> </w:t>
      </w:r>
      <w:r>
        <w:t xml:space="preserve">y el servicio no registra la solicitud: Kong respondió sin consultar a nadie.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Errores de negocio vs. errores del gateway.</w:t>
      </w:r>
      <w:r>
        <w:t xml:space="preserve"> </w:t>
      </w:r>
      <w:r>
        <w:t xml:space="preserve">Los 400 y 422 (CP-05, CP-06) los genera el servicio y el gateway solo los propaga; los 401, 404, 429, 503 y 504 los genera Kong.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Las fallas quedan aisladas.</w:t>
      </w:r>
      <w:r>
        <w:t xml:space="preserve"> </w:t>
      </w:r>
      <w:r>
        <w:t xml:space="preserve">Con Pedidos caído, Productos siguió respondiendo 200 (CP-08).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Los timeouts convierten una espera en un error rápido.</w:t>
      </w:r>
      <w:r>
        <w:t xml:space="preserve"> </w:t>
      </w:r>
      <w:r>
        <w:t xml:space="preserve">CP-09 cortó en 3 s, y CP-08 en 2 s cuando la IP estaba en caché. H-01 muestra que la resolución DNS es un tiempo que la configuración del laboratorio no controlaba.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Tráfico interno vs. externo.</w:t>
      </w:r>
      <w:r>
        <w:t xml:space="preserve"> </w:t>
      </w:r>
      <w:r>
        <w:t xml:space="preserve">En el log de Productos, las consultas que hace Pedidos aparecen con</w:t>
      </w:r>
      <w:r>
        <w:t xml:space="preserve"> </w:t>
      </w:r>
      <w:r>
        <w:rPr>
          <w:rStyle w:val="VerbatimChar"/>
        </w:rPr>
        <w:t xml:space="preserve">consumidor=-</w:t>
      </w:r>
      <w:r>
        <w:t xml:space="preserve">: no pasan por el gateway. El gateway controla el tráfico que entra desde afuera (norte-sur); la comunicación entre servicios (este-oeste) va por la red interna.</w:t>
      </w:r>
    </w:p>
    <w:bookmarkEnd w:id="33"/>
    <w:bookmarkEnd w:id="34"/>
    <w:bookmarkStart w:id="35" w:name="conclusiones"/>
    <w:p>
      <w:pPr>
        <w:pStyle w:val="Heading2"/>
      </w:pPr>
      <w:r>
        <w:t xml:space="preserve">14. Conclusiones</w:t>
      </w:r>
    </w:p>
    <w:p>
      <w:pPr>
        <w:numPr>
          <w:ilvl w:val="0"/>
          <w:numId w:val="1004"/>
        </w:numPr>
        <w:pStyle w:val="Compact"/>
      </w:pPr>
      <w:r>
        <w:t xml:space="preserve">El API Gateway cumple su función de punto único de entrada: enrutó correctamente a los dos servicios y reescribió las rutas (CP-01, CP-02, CP-07).</w:t>
      </w:r>
    </w:p>
    <w:p>
      <w:pPr>
        <w:numPr>
          <w:ilvl w:val="0"/>
          <w:numId w:val="1004"/>
        </w:numPr>
        <w:pStyle w:val="Compact"/>
      </w:pPr>
      <w:r>
        <w:t xml:space="preserve">Los controles transversales (autenticación, límite de tráfico, timeouts, trazabilidad) quedaron en un solo archivo de configuración y no en el código de cada servicio.</w:t>
      </w:r>
    </w:p>
    <w:p>
      <w:pPr>
        <w:numPr>
          <w:ilvl w:val="0"/>
          <w:numId w:val="1004"/>
        </w:numPr>
        <w:pStyle w:val="Compact"/>
      </w:pPr>
      <w:r>
        <w:t xml:space="preserve">Las validaciones del gateway ocurren antes de llegar a los servicios, y eso se pudo verificar con los logs, no solo con el código de respuesta.</w:t>
      </w:r>
    </w:p>
    <w:p>
      <w:pPr>
        <w:numPr>
          <w:ilvl w:val="0"/>
          <w:numId w:val="1004"/>
        </w:numPr>
        <w:pStyle w:val="Compact"/>
      </w:pPr>
      <w:r>
        <w:t xml:space="preserve">El gateway aísla las fallas, pero el tiempo de respuesta ante una caída depende de detalles de infraestructura como el DNS (H-01). Por eso las fallas técnicas se deben probar más de una vez.</w:t>
      </w:r>
    </w:p>
    <w:p>
      <w:pPr>
        <w:numPr>
          <w:ilvl w:val="0"/>
          <w:numId w:val="1004"/>
        </w:numPr>
        <w:pStyle w:val="Compact"/>
      </w:pPr>
      <w:r>
        <w:t xml:space="preserve">El gateway es también un punto único de falla. En producción necesitaría réplicas, monitoreo y pruebas de carga, que quedaron fuera del alcance.</w:t>
      </w:r>
    </w:p>
    <w:bookmarkEnd w:id="35"/>
    <w:bookmarkStart w:id="36" w:name="referencias"/>
    <w:p>
      <w:pPr>
        <w:pStyle w:val="Heading2"/>
      </w:pPr>
      <w:r>
        <w:t xml:space="preserve">15. Referencias</w:t>
      </w:r>
    </w:p>
    <w:p>
      <w:pPr>
        <w:numPr>
          <w:ilvl w:val="0"/>
          <w:numId w:val="1005"/>
        </w:numPr>
        <w:pStyle w:val="Compact"/>
      </w:pPr>
      <w:r>
        <w:t xml:space="preserve">Kong Inc. </w:t>
      </w:r>
      <w:r>
        <w:rPr>
          <w:iCs/>
          <w:i/>
        </w:rPr>
        <w:t xml:space="preserve">Kong Gateway documentation — DB-less and declarative configuration.</w:t>
      </w:r>
      <w:r>
        <w:t xml:space="preserve"> </w:t>
      </w:r>
      <w:r>
        <w:t xml:space="preserve">https://docs.konghq.com/gateway/latest/production/deployment-topologies/db-less-and-declarative-config/</w:t>
      </w:r>
    </w:p>
    <w:p>
      <w:pPr>
        <w:numPr>
          <w:ilvl w:val="0"/>
          <w:numId w:val="1005"/>
        </w:numPr>
        <w:pStyle w:val="Compact"/>
      </w:pPr>
      <w:r>
        <w:t xml:space="preserve">Kong Inc. </w:t>
      </w:r>
      <w:r>
        <w:rPr>
          <w:iCs/>
          <w:i/>
        </w:rPr>
        <w:t xml:space="preserve">Key Authentication plugin.</w:t>
      </w:r>
      <w:r>
        <w:t xml:space="preserve"> </w:t>
      </w:r>
      <w:r>
        <w:t xml:space="preserve">https://docs.konghq.com/hub/kong-inc/key-auth/</w:t>
      </w:r>
    </w:p>
    <w:p>
      <w:pPr>
        <w:numPr>
          <w:ilvl w:val="0"/>
          <w:numId w:val="1005"/>
        </w:numPr>
        <w:pStyle w:val="Compact"/>
      </w:pPr>
      <w:r>
        <w:t xml:space="preserve">Kong Inc. </w:t>
      </w:r>
      <w:r>
        <w:rPr>
          <w:iCs/>
          <w:i/>
        </w:rPr>
        <w:t xml:space="preserve">Rate Limiting plugin.</w:t>
      </w:r>
      <w:r>
        <w:t xml:space="preserve"> </w:t>
      </w:r>
      <w:r>
        <w:t xml:space="preserve">https://docs.konghq.com/hub/kong-inc/rate-limiting/</w:t>
      </w:r>
    </w:p>
    <w:p>
      <w:pPr>
        <w:numPr>
          <w:ilvl w:val="0"/>
          <w:numId w:val="1005"/>
        </w:numPr>
        <w:pStyle w:val="Compact"/>
      </w:pPr>
      <w:r>
        <w:t xml:space="preserve">Postman.</w:t>
      </w:r>
      <w:r>
        <w:t xml:space="preserve"> </w:t>
      </w:r>
      <w:r>
        <w:rPr>
          <w:iCs/>
          <w:i/>
        </w:rPr>
        <w:t xml:space="preserve">Newman — command-line collection runner.</w:t>
      </w:r>
      <w:r>
        <w:t xml:space="preserve"> </w:t>
      </w:r>
      <w:r>
        <w:t xml:space="preserve">https://learning.postman.com/docs/collections/using-newman-cli/command-line-integration-with-newman/</w:t>
      </w:r>
    </w:p>
    <w:p>
      <w:pPr>
        <w:numPr>
          <w:ilvl w:val="0"/>
          <w:numId w:val="1005"/>
        </w:numPr>
        <w:pStyle w:val="Compact"/>
      </w:pPr>
      <w:r>
        <w:t xml:space="preserve">Richardson, C.</w:t>
      </w:r>
      <w:r>
        <w:t xml:space="preserve"> </w:t>
      </w:r>
      <w:r>
        <w:rPr>
          <w:iCs/>
          <w:i/>
        </w:rPr>
        <w:t xml:space="preserve">Pattern: API Gateway / Backends for Frontends.</w:t>
      </w:r>
      <w:r>
        <w:t xml:space="preserve"> </w:t>
      </w:r>
      <w:r>
        <w:t xml:space="preserve">https://microservices.io/patterns/apigateway.html</w:t>
      </w:r>
    </w:p>
    <w:p>
      <w:pPr>
        <w:numPr>
          <w:ilvl w:val="0"/>
          <w:numId w:val="1005"/>
        </w:numPr>
        <w:pStyle w:val="Compact"/>
      </w:pPr>
      <w:r>
        <w:t xml:space="preserve">ISTQB.</w:t>
      </w:r>
      <w:r>
        <w:t xml:space="preserve"> </w:t>
      </w:r>
      <w:r>
        <w:rPr>
          <w:iCs/>
          <w:i/>
        </w:rPr>
        <w:t xml:space="preserve">Certified Tester Foundation Level Syllabus v4.0</w:t>
      </w:r>
      <w:r>
        <w:t xml:space="preserve"> </w:t>
      </w:r>
      <w:r>
        <w:t xml:space="preserve">(niveles de prueba: integración y sistema).</w:t>
      </w:r>
    </w:p>
    <w:p>
      <w:pPr>
        <w:numPr>
          <w:ilvl w:val="0"/>
          <w:numId w:val="1005"/>
        </w:numPr>
        <w:pStyle w:val="Compact"/>
      </w:pPr>
      <w:r>
        <w:t xml:space="preserve">Jaramillo Patiño, C. A.</w:t>
      </w:r>
      <w:r>
        <w:t xml:space="preserve"> </w:t>
      </w:r>
      <w:r>
        <w:rPr>
          <w:iCs/>
          <w:i/>
        </w:rPr>
        <w:t xml:space="preserve">Guía para la exposición y laboratorio: Estrategias de pruebas de integración y de sistema.</w:t>
      </w:r>
      <w:r>
        <w:t xml:space="preserve"> </w:t>
      </w:r>
      <w:r>
        <w:t xml:space="preserve">ITM, 2026.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2026-10-03T20:04:05Z</dcterms:created>
  <dcterms:modified xsi:type="dcterms:W3CDTF">2026-10-03T20:04:05Z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