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Cronograma de trabajo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p>
      <w:pPr>
        <w:pStyle w:val="Heading1"/>
      </w:pPr>
      <w:r>
        <w:t>Plan de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Semanas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Análisis inicial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1-2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Problema, alcance y requisitos base.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Diseño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3-6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Arquitectura, C4 y documentación técnica.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Construcción de artefactos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5-10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Requerimientos, casos de uso, riesgos y calidad.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Integración y revisión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10-13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Coherencia entre documentos y ajustes.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Cierre y sustentación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14-16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Presentación y paquete final listo para GitHub.</w:t>
            </w:r>
          </w:p>
        </w:tc>
      </w:tr>
    </w:tbl>
    <w:p/>
    <w:p>
      <w:pPr>
        <w:pStyle w:val="Heading1"/>
      </w:pPr>
      <w:r>
        <w:t>Diagrama de Gantt</w:t>
      </w:r>
    </w:p>
    <w:p>
      <w:r>
        <w:drawing>
          <wp:inline xmlns:a="http://schemas.openxmlformats.org/drawingml/2006/main" xmlns:pic="http://schemas.openxmlformats.org/drawingml/2006/picture">
            <wp:extent cx="6217920" cy="3069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97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