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Matriz de interesados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Interesado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Influencia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Interés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Expectativa principal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Validar facturas, conciliación y excepciones.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Tesorería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Evitar pagos duplicados y bloquear casos de riesgo.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Compras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Confirmar proveedores, órdenes y condiciones.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Auditoría interna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Revisar trazabilidad, soportes y decisiones.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Gerencia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Tomar decisiones estratégicas y medir impacto.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 / Soporte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Integrar sistemas, administrar accesos y soporte.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Recibir pagos correctos y recibir notificaciones.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ERP / sistema contable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Fuente principal de datos y actualizaciones.</w:t>
            </w:r>
          </w:p>
        </w:tc>
      </w:tr>
    </w:tbl>
    <w:p/>
    <w:p>
      <w:pPr>
        <w:pStyle w:val="Heading1"/>
      </w:pPr>
      <w:r>
        <w:t>Estrategia de gestión</w:t>
      </w:r>
    </w:p>
    <w:p>
      <w:pPr>
        <w:pStyle w:val="ListBullet"/>
        <w:spacing w:after="40"/>
        <w:ind w:left="0"/>
      </w:pPr>
      <w:r>
        <w:t>Alta influencia y alto interés: comunicación frecuente, revisión de decisiones y validación de resultados.</w:t>
      </w:r>
    </w:p>
    <w:p>
      <w:pPr>
        <w:pStyle w:val="ListBullet"/>
        <w:spacing w:after="40"/>
        <w:ind w:left="0"/>
      </w:pPr>
      <w:r>
        <w:t>Alta influencia y menor interés: reportes ejecutivos y aprobación de hitos.</w:t>
      </w:r>
    </w:p>
    <w:p>
      <w:pPr>
        <w:pStyle w:val="ListBullet"/>
        <w:spacing w:after="40"/>
        <w:ind w:left="0"/>
      </w:pPr>
      <w:r>
        <w:t>Usuarios operativos: capacitación, apoyo y retroalimentación continua.</w:t>
      </w:r>
    </w:p>
    <w:p>
      <w:pPr>
        <w:pStyle w:val="ListBullet"/>
        <w:spacing w:after="40"/>
        <w:ind w:left="0"/>
      </w:pPr>
      <w:r>
        <w:t>Sistemas externos: definición clara de interfaces, formatos y responsables.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