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Requerimientos funcionales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el inicio de sesión con roles diferenciados para contabilidad, tesorería, auditoría, gerencia y administrador.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 usuario con credenciales válidas accede y ve únicamente las funciones permitidas por su rol.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recibir facturas desde carga manual, correo, API o SFTP.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registra correctamente el documento en al menos uno de los canales permitidos.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extraer y normalizar datos clave de las facturas y pagos.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obtienen número, fecha, valor, proveedor y cuenta asociada con un nivel aceptable de precisión.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RF-04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detectar duplicados, montos atípicos y cambios sospechosos de cuenta bancaria.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genera una alerta cuando el documento cumple la regla o el patrón anómalo definido.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calcular un puntaje de riesgo por caso.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Cada caso recibe un score y una clasificación clara (bajo, medio, alto).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RF-06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revisión humana de alertas con comentarios y decisión final.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 usuario revisa la alerta y registra aprobar, rechazar o escalar.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RF-07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bloquear preventivamente pagos con riesgo alto o según configuración.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Los pagos marcados como críticos quedan en estado retenido hasta revisión.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RF-08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notificar por correo o canal interno los casos relevantes.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usuario recibe la alerta con enlace o referencia al caso.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RF-09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registrar trazabilidad completa de cada caso y su evidencia.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Quedan guardadas fechas, actores, decisión y soportes adjuntos.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RF-10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generar reportes y tableros de seguimiento.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visualizan métricas de alertas, casos resueltos y tendencia de riesgo.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RF-11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administrar catálogos de reglas, umbrales y proveedores.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 administrador puede crear, editar o inactivar reglas sin romper el sistema.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RF-12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integrarse con el ERP para consultar y actualizar estados.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evidencia intercambio de datos con el sistema externo configurado.</w:t>
            </w:r>
          </w:p>
        </w:tc>
      </w:tr>
    </w:tbl>
    <w:p/>
    <w:p>
      <w:pPr>
        <w:pStyle w:val="Heading1"/>
      </w:pPr>
      <w:r>
        <w:t>Observaciones de trazabilidad</w:t>
      </w:r>
    </w:p>
    <w:p>
      <w:pPr>
        <w:pStyle w:val="ListBullet"/>
        <w:spacing w:after="40"/>
        <w:ind w:left="0"/>
      </w:pPr>
      <w:r>
        <w:t>Los requerimientos RF-04, RF-05 y RF-07 son los más críticos para el valor del negocio.</w:t>
      </w:r>
    </w:p>
    <w:p>
      <w:pPr>
        <w:pStyle w:val="ListBullet"/>
        <w:spacing w:after="40"/>
        <w:ind w:left="0"/>
      </w:pPr>
      <w:r>
        <w:t>RF-09 y RF-12 sostienen la auditoría y la integración con sistemas empresariales.</w:t>
      </w:r>
    </w:p>
    <w:p>
      <w:pPr>
        <w:pStyle w:val="ListBullet"/>
        <w:spacing w:after="40"/>
        <w:ind w:left="0"/>
      </w:pPr>
      <w:r>
        <w:t>Cada RF debe reflejarse al menos en un caso de uso y en una o más historias de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