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Arquitectura del sistema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pPr>
        <w:pStyle w:val="Heading1"/>
      </w:pPr>
      <w:r>
        <w:t>1. Flujo As-Is</w:t>
      </w:r>
    </w:p>
    <w:p>
      <w:r>
        <w:t>El proceso actual depende en gran medida de revisión manual, dispersión de datos y validaciones reactivas después de ocurrido el pago.</w:t>
      </w:r>
    </w:p>
    <w:p>
      <w:r>
        <w:drawing>
          <wp:inline xmlns:a="http://schemas.openxmlformats.org/drawingml/2006/main" xmlns:pic="http://schemas.openxmlformats.org/drawingml/2006/picture">
            <wp:extent cx="6217920" cy="212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Flujo To-Be</w:t>
      </w:r>
    </w:p>
    <w:p>
      <w:r>
        <w:t>La solución objetivo introduce automatización, scoring de riesgo, revisión humana y trazabilidad centralizada.</w:t>
      </w:r>
    </w:p>
    <w:p>
      <w:r>
        <w:drawing>
          <wp:inline xmlns:a="http://schemas.openxmlformats.org/drawingml/2006/main" xmlns:pic="http://schemas.openxmlformats.org/drawingml/2006/picture">
            <wp:extent cx="6217920" cy="173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b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Modelo C4 - Contexto (C1)</w:t>
      </w:r>
    </w:p>
    <w:p>
      <w:r>
        <w:drawing>
          <wp:inline xmlns:a="http://schemas.openxmlformats.org/drawingml/2006/main" xmlns:pic="http://schemas.openxmlformats.org/drawingml/2006/picture">
            <wp:extent cx="6217920" cy="2529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Modelo C4 - Contenedores (C2)</w:t>
      </w:r>
    </w:p>
    <w:p>
      <w:r>
        <w:drawing>
          <wp:inline xmlns:a="http://schemas.openxmlformats.org/drawingml/2006/main" xmlns:pic="http://schemas.openxmlformats.org/drawingml/2006/picture">
            <wp:extent cx="6217920" cy="1758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contain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Modelo C4 - Componentes (C3)</w:t>
      </w:r>
    </w:p>
    <w:p>
      <w:r>
        <w:t>Backend API</w:t>
      </w:r>
    </w:p>
    <w:p>
      <w:r>
        <w:drawing>
          <wp:inline xmlns:a="http://schemas.openxmlformats.org/drawingml/2006/main" xmlns:pic="http://schemas.openxmlformats.org/drawingml/2006/picture">
            <wp:extent cx="6217920" cy="3149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back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Motor de detección de fraude</w:t>
      </w:r>
    </w:p>
    <w:p>
      <w:r>
        <w:drawing>
          <wp:inline xmlns:a="http://schemas.openxmlformats.org/drawingml/2006/main" xmlns:pic="http://schemas.openxmlformats.org/drawingml/2006/picture">
            <wp:extent cx="6217920" cy="23585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fra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5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Decisiones de diseño (ADR)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ADR-01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Separar el backend del motor de detección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Mantener la lógica transaccional aislada del análisis de riesgo para facilitar escalabilidad, pruebas y evolución independiente.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ADR-02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Usar SaaS multiempresa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Permitir adopción por distintas organizaciones, reduciendo costos de despliegue y mantenimiento.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ADR-03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Elegir PostgreSQL como base principal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Centralizar la trazabilidad y soportar integridad relacional, consultas y auditoría.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ADR-04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Dividir frontend y backend por API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Mejorar mantenibilidad, pruebas y experiencia de usuario sin acoplar la interfaz al negocio.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ADR-05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Incluir revisión humana en casos críticos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Reducir riesgo de falsos positivos/negativos y fortalecer la aceptación operativa.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