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8E"/>
          <w:sz w:val="48"/>
        </w:rPr>
        <w:t>KaiVoxx FG</w:t>
      </w:r>
    </w:p>
    <w:p>
      <w:pPr>
        <w:jc w:val="center"/>
      </w:pPr>
      <w:r>
        <w:rPr>
          <w:i/>
          <w:sz w:val="24"/>
        </w:rPr>
        <w:t>Sistema de detección de fraude en facturación y pagos</w:t>
      </w:r>
    </w:p>
    <w:p>
      <w:pPr>
        <w:jc w:val="center"/>
      </w:pPr>
      <w:r>
        <w:rPr>
          <w:sz w:val="20"/>
        </w:rPr>
        <w:t>KaiVoxx FG - Sistema de detección de fraude en facturación y pagos</w:t>
      </w:r>
    </w:p>
    <w:p>
      <w:pPr>
        <w:jc w:val="center"/>
      </w:pPr>
      <w:r>
        <w:rPr>
          <w:sz w:val="20"/>
        </w:rPr>
        <w:t>Elaborado por: Camilo Andrés Osorio Mejía</w:t>
      </w:r>
    </w:p>
    <w:p>
      <w:pPr>
        <w:jc w:val="center"/>
      </w:pPr>
      <w:r>
        <w:rPr>
          <w:sz w:val="20"/>
        </w:rPr>
        <w:t>Equipo: Grupo por definir</w:t>
      </w:r>
    </w:p>
    <w:p/>
    <w:p>
      <w:r/>
    </w:p>
    <w:p>
      <w:pPr>
        <w:jc w:val="center"/>
      </w:pPr>
      <w:r>
        <w:rPr>
          <w:b/>
          <w:color w:val="1B438E"/>
          <w:sz w:val="36"/>
        </w:rPr>
        <w:t>Matriz de riesgos</w:t>
      </w:r>
    </w:p>
    <w:p>
      <w:pPr>
        <w:jc w:val="center"/>
      </w:pPr>
      <w:r>
        <w:rPr>
          <w:sz w:val="20"/>
        </w:rPr>
        <w:t>Camilo Andrés Osorio Mejía</w:t>
      </w:r>
    </w:p>
    <w:p>
      <w:pPr>
        <w:jc w:val="center"/>
      </w:pPr>
      <w:r>
        <w:rPr>
          <w:sz w:val="20"/>
        </w:rPr>
        <w:t>KaiVoxx FG</w:t>
      </w:r>
    </w:p>
    <w:p/>
    <w:p>
      <w:r>
        <w:t>La siguiente matriz resume los riesgos más relevantes identificados para el proyecto, con foco en impacto sobre el negocio, la adopción y la calidad de la solución.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56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1656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Probabilidad</w:t>
            </w:r>
          </w:p>
        </w:tc>
        <w:tc>
          <w:tcPr>
            <w:tcW w:type="dxa" w:w="1656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1656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1656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Mitigación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R-01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Datos incompletos o sucios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Alto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Validaciones, limpieza de datos y plantillas de carga.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R-02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Falsos positivos en exceso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Alto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Human-in-loop, ajuste de umbrales y retroalimentación.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R-03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Integración compleja con ERP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Alto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Adaptadores genéricos, pruebas con sandbox y API contract.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R-04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Resistencia al cambio de usuarios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Capacitación, acompañamiento y despliegue gradual.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R-05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Riesgos de seguridad y privacidad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Alto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Cifrado, RBAC, backups y revisión legal.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R-06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Sobrecarga del sistema en picos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Colas, escalado horizontal y monitoreo.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R-07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Reglas de negocio desactualizadas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Comité de revisión mensual y versionado.</w:t>
            </w:r>
          </w:p>
        </w:tc>
      </w:tr>
      <w:tr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R-08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Dependencia de datos históricos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Medio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Arranque con reglas base y carga incremental.</w:t>
            </w:r>
          </w:p>
        </w:tc>
      </w:tr>
    </w:tbl>
    <w:p/>
    <w:p>
      <w:pPr>
        <w:pStyle w:val="Heading1"/>
      </w:pPr>
      <w:r>
        <w:t>Criterio de priorización</w:t>
      </w:r>
    </w:p>
    <w:p>
      <w:pPr>
        <w:pStyle w:val="ListBullet"/>
        <w:spacing w:after="40"/>
        <w:ind w:left="0"/>
      </w:pPr>
      <w:r>
        <w:t>Los riesgos con nivel alto deben ser tratados primero.</w:t>
      </w:r>
    </w:p>
    <w:p>
      <w:pPr>
        <w:pStyle w:val="ListBullet"/>
        <w:spacing w:after="40"/>
        <w:ind w:left="0"/>
      </w:pPr>
      <w:r>
        <w:t>Los riesgos medios requieren seguimiento y una estrategia de contingencia.</w:t>
      </w:r>
    </w:p>
    <w:p>
      <w:pPr>
        <w:pStyle w:val="ListBullet"/>
        <w:spacing w:after="40"/>
        <w:ind w:left="0"/>
      </w:pPr>
      <w:r>
        <w:t>El registro de riesgos debe actualizarse durante todo el ciclo del proyecto.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8"/>
      </w:rPr>
      <w:t>KaiVoxx FG | Sistema de detección de fraude en facturación y pagos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