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Plan de aseguramiento de calidad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1"/>
      </w:pPr>
      <w:r>
        <w:t>Objetivo de calidad</w:t>
      </w:r>
    </w:p>
    <w:p>
      <w:r>
        <w:t>Establecer criterios y actividades para garantizar que la documentación y la propuesta técnica de KaiVoxx FG sean consistentes, comprensibles y verificables.</w:t>
      </w:r>
    </w:p>
    <w:p>
      <w:pPr>
        <w:pStyle w:val="Heading1"/>
      </w:pPr>
      <w:r>
        <w:t>Actividades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QA-01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Revisión de requerimientos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Confirmar que RF y RNF sean completos, no ambiguos y medibles.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QA-02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Validación de arquitectura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Verificar coherencia entre contexto, contenedores, componentes y decisiones.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QA-03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Pruebas funcionales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Comprobar flujos de registro, análisis, alerta, revisión y bloqueo.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QA-04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Pruebas no funcionales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Evaluar rendimiento, seguridad, trazabilidad y disponibilidad esperada.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QA-05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Revisión de documentos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Aplicar una lista de chequeo para detectar omisiones o inconsistencias.</w:t>
            </w:r>
          </w:p>
        </w:tc>
      </w:tr>
    </w:tbl>
    <w:p/>
    <w:p>
      <w:pPr>
        <w:pStyle w:val="Heading1"/>
      </w:pPr>
      <w:r>
        <w:t>Métricas de revisión</w:t>
      </w:r>
    </w:p>
    <w:p>
      <w:pPr>
        <w:pStyle w:val="ListBullet"/>
        <w:spacing w:after="40"/>
        <w:ind w:left="0"/>
      </w:pPr>
      <w:r>
        <w:t>Consistencia entre problema, objetivos, alcance y arquitectura.</w:t>
      </w:r>
    </w:p>
    <w:p>
      <w:pPr>
        <w:pStyle w:val="ListBullet"/>
        <w:spacing w:after="40"/>
        <w:ind w:left="0"/>
      </w:pPr>
      <w:r>
        <w:t>Completitud de RF, RNF, casos de uso y riesgos.</w:t>
      </w:r>
    </w:p>
    <w:p>
      <w:pPr>
        <w:pStyle w:val="ListBullet"/>
        <w:spacing w:after="40"/>
        <w:ind w:left="0"/>
      </w:pPr>
      <w:r>
        <w:t>Claridad visual de tablas, diagramas y presentación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