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b15f3b963153169a8da77b7c397037b8bebc3ea"/>
    <w:p>
      <w:pPr>
        <w:pStyle w:val="Heading1"/>
      </w:pPr>
      <w:r>
        <w:t xml:space="preserve">Examen de Procesos Estocásticos Multivariados — Resolución Integral</w:t>
      </w:r>
    </w:p>
    <w:p>
      <w:pPr>
        <w:pStyle w:val="FirstParagraph"/>
      </w:pPr>
      <w:r>
        <w:rPr>
          <w:b/>
          <w:bCs/>
        </w:rPr>
        <w:t xml:space="preserve">Curso:</w:t>
      </w:r>
      <w:r>
        <w:t xml:space="preserve"> </w:t>
      </w:r>
      <w:r>
        <w:t xml:space="preserve">Procesos Estocásticos 2026-1 |</w:t>
      </w:r>
      <w:r>
        <w:t xml:space="preserve"> </w:t>
      </w:r>
      <w:r>
        <w:rPr>
          <w:b/>
          <w:bCs/>
        </w:rPr>
        <w:t xml:space="preserve">UPG FIEE</w:t>
      </w:r>
      <w:r>
        <w:br/>
      </w:r>
      <w:r>
        <w:rPr>
          <w:b/>
          <w:bCs/>
        </w:rPr>
        <w:t xml:space="preserve">Fecha de resolución:</w:t>
      </w:r>
      <w:r>
        <w:t xml:space="preserve"> </w:t>
      </w:r>
      <w:r>
        <w:t xml:space="preserve">17 de junio de 2026</w:t>
      </w:r>
      <w:r>
        <w:br/>
      </w:r>
      <w:r>
        <w:rPr>
          <w:b/>
          <w:bCs/>
        </w:rPr>
        <w:t xml:space="preserve">Proyecto:</w:t>
      </w:r>
      <w:r>
        <w:t xml:space="preserve"> </w:t>
      </w:r>
      <w:r>
        <w:t xml:space="preserve">Lab_EE05_Estocasticos</w:t>
      </w:r>
    </w:p>
    <w:p>
      <w:r>
        <w:pict>
          <v:rect style="width:0;height:1.5pt" o:hralign="center" o:hrstd="t" o:hr="t"/>
        </w:pict>
      </w:r>
    </w:p>
    <w:bookmarkStart w:id="36" w:name="parte-teórica-60"/>
    <w:p>
      <w:pPr>
        <w:pStyle w:val="Heading2"/>
      </w:pPr>
      <w:r>
        <w:t xml:space="preserve">Parte Teórica (60 %)</w:t>
      </w:r>
    </w:p>
    <w:p>
      <w:r>
        <w:pict>
          <v:rect style="width:0;height:1.5pt" o:hralign="center" o:hrstd="t" o:hr="t"/>
        </w:pict>
      </w:r>
    </w:p>
    <w:bookmarkStart w:id="23" w:name="Xd8fd6827304dad8c651d9f620da748bd8d4c6b4"/>
    <w:p>
      <w:pPr>
        <w:pStyle w:val="Heading3"/>
      </w:pPr>
      <w:r>
        <w:t xml:space="preserve">Pregunta 1 (15 %) — Función Impulso Respuesta (FIR) en modelos VAR</w:t>
      </w:r>
    </w:p>
    <w:bookmarkStart w:id="20" w:name="X6c44b9429961fb92d9af559730745851657c21d"/>
    <w:p>
      <w:pPr>
        <w:pStyle w:val="Heading4"/>
      </w:pPr>
      <w:r>
        <w:t xml:space="preserve">a) Definición de la FIR en el contexto VAR</w:t>
      </w:r>
    </w:p>
    <w:p>
      <w:pPr>
        <w:pStyle w:val="FirstParagraph"/>
      </w:pPr>
      <w:r>
        <w:t xml:space="preserve">Sea un proceso estocástico multivariado estacionario</w:t>
      </w:r>
      <w:r>
        <w:t xml:space="preserve"> </w:t>
      </w:r>
      <m:oMath>
        <m:r>
          <m:rPr>
            <m:sty m:val="p"/>
          </m:rPr>
          <m:t>{</m:t>
        </m:r>
        <m:sSub>
          <m:e>
            <m:r>
              <m:t>X</m:t>
            </m:r>
          </m:e>
          <m:sub>
            <m:r>
              <m:t>t</m:t>
            </m:r>
          </m:sub>
        </m:sSub>
        <m:r>
          <m:rPr>
            <m:sty m:val="p"/>
          </m:rPr>
          <m:t>}</m:t>
        </m:r>
      </m:oMath>
      <w:r>
        <w:t xml:space="preserve"> </w:t>
      </w:r>
      <w:r>
        <w:t xml:space="preserve">con</w:t>
      </w:r>
      <w:r>
        <w:t xml:space="preserve"> </w:t>
      </w:r>
      <m:oMath>
        <m:sSub>
          <m:e>
            <m:r>
              <m:t>X</m:t>
            </m:r>
          </m:e>
          <m:sub>
            <m:r>
              <m:t>t</m:t>
            </m:r>
          </m:sub>
        </m:sSub>
        <m:r>
          <m:rPr>
            <m:sty m:val="p"/>
          </m:rPr>
          <m:t>∈</m:t>
        </m:r>
        <m:sSup>
          <m:e>
            <m:r>
              <m:rPr>
                <m:scr m:val="double-struck"/>
                <m:sty m:val="p"/>
              </m:rPr>
              <m:t>R</m:t>
            </m:r>
          </m:e>
          <m:sup>
            <m:r>
              <m:t>K</m:t>
            </m:r>
          </m:sup>
        </m:sSup>
      </m:oMath>
      <w:r>
        <w:t xml:space="preserve">, representado por un modelo Vectorial Autorregresivo de orden</w:t>
      </w:r>
      <w:r>
        <w:t xml:space="preserve"> </w:t>
      </w:r>
      <m:oMath>
        <m:r>
          <m:t>p</m:t>
        </m:r>
      </m:oMath>
      <w:r>
        <w:t xml:space="preserve">, VAR(</w:t>
      </w:r>
      <m:oMath>
        <m:r>
          <m:t>p</m:t>
        </m:r>
      </m:oMath>
      <w:r>
        <w:t xml:space="preserve">):</w:t>
      </w:r>
    </w:p>
    <w:p>
      <w:pPr>
        <w:pStyle w:val="BodyText"/>
      </w:pPr>
      <m:oMathPara>
        <m:oMathParaPr>
          <m:jc m:val="center"/>
        </m:oMathParaPr>
        <m:oMath>
          <m:sSub>
            <m:e>
              <m:r>
                <m:t>X</m:t>
              </m:r>
            </m:e>
            <m:sub>
              <m:r>
                <m:t>t</m:t>
              </m:r>
            </m:sub>
          </m:sSub>
          <m:r>
            <m:rPr>
              <m:sty m:val="p"/>
            </m:rPr>
            <m:t>=</m:t>
          </m:r>
          <m:r>
            <m:t>c</m:t>
          </m:r>
          <m:r>
            <m:rPr>
              <m:sty m:val="p"/>
            </m:rPr>
            <m:t>+</m:t>
          </m:r>
          <m:nary>
            <m:naryPr>
              <m:chr m:val="∑"/>
              <m:limLoc m:val="undOvr"/>
              <m:subHide m:val="off"/>
              <m:supHide m:val="off"/>
            </m:naryPr>
            <m:sub>
              <m:r>
                <m:t>i</m:t>
              </m:r>
              <m:r>
                <m:rPr>
                  <m:sty m:val="p"/>
                </m:rPr>
                <m:t>=</m:t>
              </m:r>
              <m:r>
                <m:t>1</m:t>
              </m:r>
            </m:sub>
            <m:sup>
              <m:r>
                <m:t>p</m:t>
              </m:r>
            </m:sup>
            <m:e>
              <m:sSub>
                <m:e>
                  <m:r>
                    <m:t>A</m:t>
                  </m:r>
                </m:e>
                <m:sub>
                  <m:r>
                    <m:t>i</m:t>
                  </m:r>
                </m:sub>
              </m:sSub>
            </m:e>
          </m:nary>
          <m:sSub>
            <m:e>
              <m:r>
                <m:t>X</m:t>
              </m:r>
            </m:e>
            <m:sub>
              <m:r>
                <m:t>t</m:t>
              </m:r>
              <m:r>
                <m:rPr>
                  <m:sty m:val="p"/>
                </m:rPr>
                <m:t>−</m:t>
              </m:r>
              <m:r>
                <m:t>i</m:t>
              </m:r>
            </m:sub>
          </m:sSub>
          <m:r>
            <m:rPr>
              <m:sty m:val="p"/>
            </m:rPr>
            <m:t>+</m:t>
          </m:r>
          <m:sSub>
            <m:e>
              <m:r>
                <m:t>ε</m:t>
              </m:r>
            </m:e>
            <m:sub>
              <m:r>
                <m:t>t</m:t>
              </m:r>
            </m:sub>
          </m:sSub>
          <m:r>
            <m:rPr>
              <m:sty m:val="p"/>
            </m:rPr>
            <m:t>,</m:t>
          </m:r>
          <m:r>
            <m:t> </m:t>
          </m:r>
          <m:sSub>
            <m:e>
              <m:r>
                <m:t>ε</m:t>
              </m:r>
            </m:e>
            <m:sub>
              <m:r>
                <m:t>t</m:t>
              </m:r>
            </m:sub>
          </m:sSub>
          <m:r>
            <m:rPr>
              <m:sty m:val="p"/>
            </m:rPr>
            <m:t>∼</m:t>
          </m:r>
          <m:r>
            <m:t>W</m:t>
          </m:r>
          <m:r>
            <m:t>N</m:t>
          </m:r>
          <m:r>
            <m:rPr>
              <m:sty m:val="p"/>
            </m:rPr>
            <m:t>(</m:t>
          </m:r>
          <m:r>
            <m:t>0</m:t>
          </m:r>
          <m:r>
            <m:rPr>
              <m:sty m:val="p"/>
            </m:rPr>
            <m:t>,</m:t>
          </m:r>
          <m:r>
            <m:rPr>
              <m:sty m:val="p"/>
            </m:rPr>
            <m:t>Σ</m:t>
          </m:r>
          <m:r>
            <m:rPr>
              <m:sty m:val="p"/>
            </m:rPr>
            <m:t>)</m:t>
          </m:r>
        </m:oMath>
      </m:oMathPara>
    </w:p>
    <w:p>
      <w:pPr>
        <w:pStyle w:val="FirstParagraph"/>
      </w:pPr>
      <w:r>
        <w:t xml:space="preserve">Mediante la representación de Media Móvil (VMA(</w:t>
      </w:r>
      <m:oMath>
        <m:r>
          <m:rPr>
            <m:sty m:val="p"/>
          </m:rPr>
          <m:t>∞</m:t>
        </m:r>
      </m:oMath>
      <w:r>
        <w:t xml:space="preserve">)), el proceso puede reescribirse como:</w:t>
      </w:r>
    </w:p>
    <w:p>
      <w:pPr>
        <w:pStyle w:val="BodyText"/>
      </w:pPr>
      <m:oMathPara>
        <m:oMathParaPr>
          <m:jc m:val="center"/>
        </m:oMathParaPr>
        <m:oMath>
          <m:sSub>
            <m:e>
              <m:r>
                <m:t>X</m:t>
              </m:r>
            </m:e>
            <m:sub>
              <m:r>
                <m:t>t</m:t>
              </m:r>
            </m:sub>
          </m:sSub>
          <m:r>
            <m:rPr>
              <m:sty m:val="p"/>
            </m:rPr>
            <m:t>=</m:t>
          </m:r>
          <m:r>
            <m:t>μ</m:t>
          </m:r>
          <m:r>
            <m:rPr>
              <m:sty m:val="p"/>
            </m:rPr>
            <m:t>+</m:t>
          </m:r>
          <m:nary>
            <m:naryPr>
              <m:chr m:val="∑"/>
              <m:limLoc m:val="undOvr"/>
              <m:subHide m:val="off"/>
              <m:supHide m:val="off"/>
            </m:naryPr>
            <m:sub>
              <m:r>
                <m:t>h</m:t>
              </m:r>
              <m:r>
                <m:rPr>
                  <m:sty m:val="p"/>
                </m:rPr>
                <m:t>=</m:t>
              </m:r>
              <m:r>
                <m:t>0</m:t>
              </m:r>
            </m:sub>
            <m:sup>
              <m:r>
                <m:rPr>
                  <m:sty m:val="p"/>
                </m:rPr>
                <m:t>∞</m:t>
              </m:r>
            </m:sup>
            <m:e>
              <m:sSub>
                <m:e>
                  <m:r>
                    <m:rPr>
                      <m:sty m:val="p"/>
                    </m:rPr>
                    <m:t>Ψ</m:t>
                  </m:r>
                </m:e>
                <m:sub>
                  <m:r>
                    <m:t>h</m:t>
                  </m:r>
                </m:sub>
              </m:sSub>
            </m:e>
          </m:nary>
          <m:sSub>
            <m:e>
              <m:r>
                <m:t>ε</m:t>
              </m:r>
            </m:e>
            <m:sub>
              <m:r>
                <m:t>t</m:t>
              </m:r>
              <m:r>
                <m:rPr>
                  <m:sty m:val="p"/>
                </m:rPr>
                <m:t>−</m:t>
              </m:r>
              <m:r>
                <m:t>h</m:t>
              </m:r>
            </m:sub>
          </m:sSub>
        </m:oMath>
      </m:oMathPara>
    </w:p>
    <w:p>
      <w:pPr>
        <w:pStyle w:val="FirstParagraph"/>
      </w:pPr>
      <w:r>
        <w:t xml:space="preserve">donde</w:t>
      </w:r>
      <w:r>
        <w:t xml:space="preserve"> </w:t>
      </w:r>
      <m:oMath>
        <m:sSub>
          <m:e>
            <m:r>
              <m:rPr>
                <m:sty m:val="p"/>
              </m:rPr>
              <m:t>Ψ</m:t>
            </m:r>
          </m:e>
          <m:sub>
            <m:r>
              <m:t>0</m:t>
            </m:r>
          </m:sub>
        </m:sSub>
        <m:r>
          <m:rPr>
            <m:sty m:val="p"/>
          </m:rPr>
          <m:t>=</m:t>
        </m:r>
        <m:sSub>
          <m:e>
            <m:r>
              <m:t>I</m:t>
            </m:r>
          </m:e>
          <m:sub>
            <m:r>
              <m:t>K</m:t>
            </m:r>
          </m:sub>
        </m:sSub>
      </m:oMath>
      <w:r>
        <w:t xml:space="preserve"> </w:t>
      </w:r>
      <w:r>
        <w:t xml:space="preserve">y las matrices</w:t>
      </w:r>
      <w:r>
        <w:t xml:space="preserve"> </w:t>
      </w:r>
      <m:oMath>
        <m:sSub>
          <m:e>
            <m:r>
              <m:rPr>
                <m:sty m:val="p"/>
              </m:rPr>
              <m:t>Ψ</m:t>
            </m:r>
          </m:e>
          <m:sub>
            <m:r>
              <m:t>h</m:t>
            </m:r>
          </m:sub>
        </m:sSub>
      </m:oMath>
      <w:r>
        <w:t xml:space="preserve"> </w:t>
      </w:r>
      <w:r>
        <w:t xml:space="preserve">se obtienen recursivamente a partir de los coeficientes</w:t>
      </w:r>
      <w:r>
        <w:t xml:space="preserve"> </w:t>
      </w:r>
      <m:oMath>
        <m:sSub>
          <m:e>
            <m:r>
              <m:t>A</m:t>
            </m:r>
          </m:e>
          <m:sub>
            <m:r>
              <m:t>i</m:t>
            </m:r>
          </m:sub>
        </m:sSub>
      </m:oMath>
      <w:r>
        <w:t xml:space="preserve">.</w:t>
      </w:r>
    </w:p>
    <w:p>
      <w:pPr>
        <w:pStyle w:val="BodyText"/>
      </w:pPr>
      <w:r>
        <w:t xml:space="preserve">La</w:t>
      </w:r>
      <w:r>
        <w:t xml:space="preserve"> </w:t>
      </w:r>
      <w:r>
        <w:rPr>
          <w:b/>
          <w:bCs/>
        </w:rPr>
        <w:t xml:space="preserve">Función Impulso Respuesta (FIR)</w:t>
      </w:r>
      <w:r>
        <w:t xml:space="preserve">, también denominada</w:t>
      </w:r>
      <w:r>
        <w:t xml:space="preserve"> </w:t>
      </w:r>
      <w:r>
        <w:rPr>
          <w:b/>
          <w:bCs/>
        </w:rPr>
        <w:t xml:space="preserve">Impulse Response Function (IRF)</w:t>
      </w:r>
      <w:r>
        <w:t xml:space="preserve">, es la secuencia de matrices</w:t>
      </w:r>
      <w:r>
        <w:t xml:space="preserve"> </w:t>
      </w:r>
      <m:oMath>
        <m:r>
          <m:rPr>
            <m:sty m:val="p"/>
          </m:rPr>
          <m:t>{</m:t>
        </m:r>
        <m:sSub>
          <m:e>
            <m:r>
              <m:rPr>
                <m:sty m:val="p"/>
              </m:rPr>
              <m:t>Ψ</m:t>
            </m:r>
          </m:e>
          <m:sub>
            <m:r>
              <m:t>h</m:t>
            </m:r>
          </m:sub>
        </m:sSub>
        <m:sSubSup>
          <m:e>
            <m:r>
              <m:rPr>
                <m:sty m:val="p"/>
              </m:rPr>
              <m:t>}</m:t>
            </m:r>
          </m:e>
          <m:sub>
            <m:r>
              <m:t>h</m:t>
            </m:r>
            <m:r>
              <m:rPr>
                <m:sty m:val="p"/>
              </m:rPr>
              <m:t>=</m:t>
            </m:r>
            <m:r>
              <m:t>0</m:t>
            </m:r>
          </m:sub>
          <m:sup>
            <m:r>
              <m:rPr>
                <m:sty m:val="p"/>
              </m:rPr>
              <m:t>∞</m:t>
            </m:r>
          </m:sup>
        </m:sSubSup>
      </m:oMath>
      <w:r>
        <w:t xml:space="preserve"> </w:t>
      </w:r>
      <w:r>
        <w:t xml:space="preserve">que cuantifica la respuesta dinámica del sistema ante un shock unitario (o de una desviación estándar) en una componente del vector de innovaciones</w:t>
      </w:r>
      <w:r>
        <w:t xml:space="preserve"> </w:t>
      </w:r>
      <m:oMath>
        <m:sSub>
          <m:e>
            <m:r>
              <m:t>ε</m:t>
            </m:r>
          </m:e>
          <m:sub>
            <m:r>
              <m:t>t</m:t>
            </m:r>
          </m:sub>
        </m:sSub>
      </m:oMath>
      <w:r>
        <w:t xml:space="preserve"> </w:t>
      </w:r>
      <w:r>
        <w:t xml:space="preserve">en el instante</w:t>
      </w:r>
      <w:r>
        <w:t xml:space="preserve"> </w:t>
      </w:r>
      <m:oMath>
        <m:r>
          <m:t>t</m:t>
        </m:r>
      </m:oMath>
      <w:r>
        <w:t xml:space="preserve">, evaluada</w:t>
      </w:r>
      <w:r>
        <w:t xml:space="preserve"> </w:t>
      </w:r>
      <m:oMath>
        <m:r>
          <m:t>h</m:t>
        </m:r>
      </m:oMath>
      <w:r>
        <w:t xml:space="preserve"> </w:t>
      </w:r>
      <w:r>
        <w:t xml:space="preserve">periodos después.</w:t>
      </w:r>
    </w:p>
    <w:p>
      <w:pPr>
        <w:pStyle w:val="BodyText"/>
      </w:pPr>
      <w:r>
        <w:t xml:space="preserve">Formalmente, el elemento</w:t>
      </w:r>
      <w:r>
        <w:t xml:space="preserve"> </w:t>
      </w:r>
      <m:oMath>
        <m:r>
          <m:rPr>
            <m:sty m:val="p"/>
          </m:rPr>
          <m:t>(</m:t>
        </m:r>
        <m:r>
          <m:t>i</m:t>
        </m:r>
        <m:r>
          <m:rPr>
            <m:sty m:val="p"/>
          </m:rPr>
          <m:t>,</m:t>
        </m:r>
        <m:r>
          <m:t>k</m:t>
        </m:r>
        <m:r>
          <m:rPr>
            <m:sty m:val="p"/>
          </m:rPr>
          <m:t>)</m:t>
        </m:r>
      </m:oMath>
      <w:r>
        <w:t xml:space="preserve"> </w:t>
      </w:r>
      <w:r>
        <w:t xml:space="preserve">de</w:t>
      </w:r>
      <w:r>
        <w:t xml:space="preserve"> </w:t>
      </w:r>
      <m:oMath>
        <m:sSub>
          <m:e>
            <m:r>
              <m:rPr>
                <m:sty m:val="p"/>
              </m:rPr>
              <m:t>Ψ</m:t>
            </m:r>
          </m:e>
          <m:sub>
            <m:r>
              <m:t>h</m:t>
            </m:r>
          </m:sub>
        </m:sSub>
      </m:oMath>
      <w:r>
        <w:t xml:space="preserve"> </w:t>
      </w:r>
      <w:r>
        <w:t xml:space="preserve">mide cuánto cambia la variable</w:t>
      </w:r>
      <w:r>
        <w:t xml:space="preserve"> </w:t>
      </w:r>
      <m:oMath>
        <m:r>
          <m:t>i</m:t>
        </m:r>
      </m:oMath>
      <w:r>
        <w:t xml:space="preserve"> </w:t>
      </w:r>
      <w:r>
        <w:t xml:space="preserve">en el periodo</w:t>
      </w:r>
      <w:r>
        <w:t xml:space="preserve"> </w:t>
      </w:r>
      <m:oMath>
        <m:r>
          <m:t>t</m:t>
        </m:r>
        <m:r>
          <m:rPr>
            <m:sty m:val="p"/>
          </m:rPr>
          <m:t>+</m:t>
        </m:r>
        <m:r>
          <m:t>h</m:t>
        </m:r>
      </m:oMath>
      <w:r>
        <w:t xml:space="preserve"> </w:t>
      </w:r>
      <w:r>
        <w:t xml:space="preserve">ante un incremento de una unidad en el shock</w:t>
      </w:r>
      <w:r>
        <w:t xml:space="preserve"> </w:t>
      </w:r>
      <m:oMath>
        <m:sSub>
          <m:e>
            <m:r>
              <m:t>ε</m:t>
            </m:r>
          </m:e>
          <m:sub>
            <m:r>
              <m:t>k</m:t>
            </m:r>
            <m:r>
              <m:rPr>
                <m:sty m:val="p"/>
              </m:rPr>
              <m:t>,</m:t>
            </m:r>
            <m:r>
              <m:t>t</m:t>
            </m:r>
          </m:sub>
        </m:sSub>
      </m:oMath>
      <w:r>
        <w:t xml:space="preserve">:</w:t>
      </w:r>
    </w:p>
    <w:p>
      <w:pPr>
        <w:pStyle w:val="BodyText"/>
      </w:pPr>
      <m:oMathPara>
        <m:oMathParaPr>
          <m:jc m:val="center"/>
        </m:oMathParaPr>
        <m:oMath>
          <m:f>
            <m:fPr>
              <m:type m:val="bar"/>
            </m:fPr>
            <m:num>
              <m:r>
                <m:rPr>
                  <m:sty m:val="p"/>
                </m:rPr>
                <m:t>∂</m:t>
              </m:r>
              <m:sSub>
                <m:e>
                  <m:r>
                    <m:t>X</m:t>
                  </m:r>
                </m:e>
                <m:sub>
                  <m:r>
                    <m:t>i</m:t>
                  </m:r>
                  <m:r>
                    <m:rPr>
                      <m:sty m:val="p"/>
                    </m:rPr>
                    <m:t>,</m:t>
                  </m:r>
                  <m:r>
                    <m:t>t</m:t>
                  </m:r>
                  <m:r>
                    <m:rPr>
                      <m:sty m:val="p"/>
                    </m:rPr>
                    <m:t>+</m:t>
                  </m:r>
                  <m:r>
                    <m:t>h</m:t>
                  </m:r>
                </m:sub>
              </m:sSub>
            </m:num>
            <m:den>
              <m:r>
                <m:rPr>
                  <m:sty m:val="p"/>
                </m:rPr>
                <m:t>∂</m:t>
              </m:r>
              <m:sSub>
                <m:e>
                  <m:r>
                    <m:t>ε</m:t>
                  </m:r>
                </m:e>
                <m:sub>
                  <m:r>
                    <m:t>k</m:t>
                  </m:r>
                  <m:r>
                    <m:rPr>
                      <m:sty m:val="p"/>
                    </m:rPr>
                    <m:t>,</m:t>
                  </m:r>
                  <m:r>
                    <m:t>t</m:t>
                  </m:r>
                </m:sub>
              </m:sSub>
            </m:den>
          </m:f>
          <m:r>
            <m:rPr>
              <m:sty m:val="p"/>
            </m:rPr>
            <m:t>=</m:t>
          </m:r>
          <m:sSub>
            <m:e>
              <m:r>
                <m:rPr>
                  <m:sty m:val="p"/>
                </m:rPr>
                <m:t>Ψ</m:t>
              </m:r>
            </m:e>
            <m:sub>
              <m:r>
                <m:t>h</m:t>
              </m:r>
            </m:sub>
          </m:sSub>
          <m:r>
            <m:rPr>
              <m:sty m:val="p"/>
            </m:rPr>
            <m:t>(</m:t>
          </m:r>
          <m:r>
            <m:t>i</m:t>
          </m:r>
          <m:r>
            <m:rPr>
              <m:sty m:val="p"/>
            </m:rPr>
            <m:t>,</m:t>
          </m:r>
          <m:r>
            <m:t>k</m:t>
          </m:r>
          <m:r>
            <m:rPr>
              <m:sty m:val="p"/>
            </m:rPr>
            <m:t>)</m:t>
          </m:r>
        </m:oMath>
      </m:oMathPara>
    </w:p>
    <w:p>
      <w:pPr>
        <w:pStyle w:val="FirstParagraph"/>
      </w:pPr>
      <w:r>
        <w:t xml:space="preserve">La FIR permite caracterizar la transmisión de perturbaciones entre variables, la persistencia de los shocks, la velocidad de ajuste del sistema y la identificación de relaciones dinámicas de causa-efecto en el sentido de Granger.</w:t>
      </w:r>
    </w:p>
    <w:bookmarkEnd w:id="20"/>
    <w:bookmarkStart w:id="21" w:name="X618eba0126e94b626c8d7d6f58a2fa48bf4aea9"/>
    <w:p>
      <w:pPr>
        <w:pStyle w:val="Heading4"/>
      </w:pPr>
      <w:r>
        <w:t xml:space="preserve">b) Interpretación física en un sistema de potencia</w:t>
      </w:r>
    </w:p>
    <w:p>
      <w:pPr>
        <w:pStyle w:val="FirstParagraph"/>
      </w:pPr>
      <w:r>
        <w:t xml:space="preserve">En el sistema de potencia con</w:t>
      </w:r>
      <w:r>
        <w:t xml:space="preserve"> </w:t>
      </w:r>
      <m:oMath>
        <m:sSub>
          <m:e>
            <m:r>
              <m:t>X</m:t>
            </m:r>
          </m:e>
          <m:sub>
            <m:r>
              <m:t>t</m:t>
            </m:r>
          </m:sub>
        </m:sSub>
        <m:r>
          <m:rPr>
            <m:sty m:val="p"/>
          </m:rPr>
          <m:t>=</m:t>
        </m:r>
        <m:r>
          <m:rPr>
            <m:sty m:val="p"/>
          </m:rPr>
          <m:t>[</m:t>
        </m:r>
        <m:sSub>
          <m:e>
            <m:r>
              <m:t>f</m:t>
            </m:r>
          </m:e>
          <m:sub>
            <m:r>
              <m:t>t</m:t>
            </m:r>
          </m:sub>
        </m:sSub>
        <m:r>
          <m:rPr>
            <m:sty m:val="p"/>
          </m:rPr>
          <m:t>,</m:t>
        </m:r>
        <m:r>
          <m:t> </m:t>
        </m:r>
        <m:sSub>
          <m:e>
            <m:r>
              <m:t>P</m:t>
            </m:r>
          </m:e>
          <m:sub>
            <m:r>
              <m:t>t</m:t>
            </m:r>
          </m:sub>
        </m:sSub>
        <m:r>
          <m:rPr>
            <m:sty m:val="p"/>
          </m:rPr>
          <m:t>,</m:t>
        </m:r>
        <m:r>
          <m:t> </m:t>
        </m:r>
        <m:sSub>
          <m:e>
            <m:r>
              <m:t>Q</m:t>
            </m:r>
          </m:e>
          <m:sub>
            <m:r>
              <m:t>t</m:t>
            </m:r>
          </m:sub>
        </m:sSub>
        <m:sSup>
          <m:e>
            <m:r>
              <m:rPr>
                <m:sty m:val="p"/>
              </m:rPr>
              <m:t>]</m:t>
            </m:r>
          </m:e>
          <m:sup>
            <m:r>
              <m:rPr>
                <m:sty m:val="p"/>
              </m:rPr>
              <m:t>′</m:t>
            </m:r>
          </m:sup>
        </m:sSup>
      </m:oMath>
      <w:r>
        <w:t xml:space="preserve">, donde</w:t>
      </w:r>
      <w:r>
        <w:t xml:space="preserve"> </w:t>
      </w:r>
      <m:oMath>
        <m:sSub>
          <m:e>
            <m:r>
              <m:t>f</m:t>
            </m:r>
          </m:e>
          <m:sub>
            <m:r>
              <m:t>t</m:t>
            </m:r>
          </m:sub>
        </m:sSub>
      </m:oMath>
      <w:r>
        <w:t xml:space="preserve"> </w:t>
      </w:r>
      <w:r>
        <w:t xml:space="preserve">es la frecuencia (Hz),</w:t>
      </w:r>
      <w:r>
        <w:t xml:space="preserve"> </w:t>
      </w:r>
      <m:oMath>
        <m:sSub>
          <m:e>
            <m:r>
              <m:t>P</m:t>
            </m:r>
          </m:e>
          <m:sub>
            <m:r>
              <m:t>t</m:t>
            </m:r>
          </m:sub>
        </m:sSub>
      </m:oMath>
      <w:r>
        <w:t xml:space="preserve"> </w:t>
      </w:r>
      <w:r>
        <w:t xml:space="preserve">la potencia activa (MW) y</w:t>
      </w:r>
      <w:r>
        <w:t xml:space="preserve"> </w:t>
      </w:r>
      <m:oMath>
        <m:sSub>
          <m:e>
            <m:r>
              <m:t>Q</m:t>
            </m:r>
          </m:e>
          <m:sub>
            <m:r>
              <m:t>t</m:t>
            </m:r>
          </m:sub>
        </m:sSub>
      </m:oMath>
      <w:r>
        <w:t xml:space="preserve"> </w:t>
      </w:r>
      <w:r>
        <w:t xml:space="preserve">la potencia reactiva (MVAR), la ecuación:</w:t>
      </w:r>
    </w:p>
    <w:p>
      <w:pPr>
        <w:pStyle w:val="BodyText"/>
      </w:pPr>
      <m:oMathPara>
        <m:oMathParaPr>
          <m:jc m:val="center"/>
        </m:oMathParaPr>
        <m:oMath>
          <m:f>
            <m:fPr>
              <m:type m:val="bar"/>
            </m:fPr>
            <m:num>
              <m:r>
                <m:rPr>
                  <m:sty m:val="p"/>
                </m:rPr>
                <m:t>∂</m:t>
              </m:r>
              <m:sSub>
                <m:e>
                  <m:r>
                    <m:t>X</m:t>
                  </m:r>
                </m:e>
                <m:sub>
                  <m:r>
                    <m:t>t</m:t>
                  </m:r>
                  <m:r>
                    <m:rPr>
                      <m:sty m:val="p"/>
                    </m:rPr>
                    <m:t>+</m:t>
                  </m:r>
                  <m:r>
                    <m:t>h</m:t>
                  </m:r>
                </m:sub>
              </m:sSub>
            </m:num>
            <m:den>
              <m:r>
                <m:rPr>
                  <m:sty m:val="p"/>
                </m:rPr>
                <m:t>∂</m:t>
              </m:r>
              <m:sSub>
                <m:e>
                  <m:r>
                    <m:t>ε</m:t>
                  </m:r>
                </m:e>
                <m:sub>
                  <m:r>
                    <m:t>k</m:t>
                  </m:r>
                  <m:r>
                    <m:rPr>
                      <m:sty m:val="p"/>
                    </m:rPr>
                    <m:t>,</m:t>
                  </m:r>
                  <m:r>
                    <m:t>t</m:t>
                  </m:r>
                </m:sub>
              </m:sSub>
            </m:den>
          </m:f>
          <m:r>
            <m:rPr>
              <m:sty m:val="p"/>
            </m:rPr>
            <m:t>=</m:t>
          </m:r>
          <m:sSub>
            <m:e>
              <m:r>
                <m:rPr>
                  <m:sty m:val="p"/>
                </m:rPr>
                <m:t>Ψ</m:t>
              </m:r>
            </m:e>
            <m:sub>
              <m:r>
                <m:t>h</m:t>
              </m:r>
            </m:sub>
          </m:sSub>
        </m:oMath>
      </m:oMathPara>
    </w:p>
    <w:p>
      <w:pPr>
        <w:pStyle w:val="FirstParagraph"/>
      </w:pPr>
      <w:r>
        <w:t xml:space="preserve">significa lo siguiente para cada shock</w:t>
      </w:r>
      <w:r>
        <w:t xml:space="preserve"> </w:t>
      </w:r>
      <m:oMath>
        <m:r>
          <m:t>k</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Shock (</w:t>
            </w:r>
            <m:oMath>
              <m:r>
                <m:t>k</m:t>
              </m:r>
            </m:oMath>
            <w:r>
              <w:t xml:space="preserve">)</w:t>
            </w:r>
          </w:p>
        </w:tc>
        <w:tc>
          <w:tcPr/>
          <w:p>
            <w:pPr>
              <w:pStyle w:val="Compact"/>
            </w:pPr>
            <w:r>
              <w:t xml:space="preserve">Interpretación física de</w:t>
            </w:r>
            <w:r>
              <w:t xml:space="preserve"> </w:t>
            </w:r>
            <m:oMath>
              <m:sSub>
                <m:e>
                  <m:r>
                    <m:rPr>
                      <m:sty m:val="p"/>
                    </m:rPr>
                    <m:t>Ψ</m:t>
                  </m:r>
                </m:e>
                <m:sub>
                  <m:r>
                    <m:t>h</m:t>
                  </m:r>
                </m:sub>
              </m:sSub>
              <m:r>
                <m:rPr>
                  <m:sty m:val="p"/>
                </m:rPr>
                <m:t>(</m:t>
              </m:r>
              <m:r>
                <m:t>i</m:t>
              </m:r>
              <m:r>
                <m:rPr>
                  <m:sty m:val="p"/>
                </m:rPr>
                <m:t>,</m:t>
              </m:r>
              <m:r>
                <m:t>k</m:t>
              </m:r>
              <m:r>
                <m:rPr>
                  <m:sty m:val="p"/>
                </m:rPr>
                <m:t>)</m:t>
              </m:r>
            </m:oMath>
          </w:p>
        </w:tc>
      </w:tr>
      <w:tr>
        <w:tc>
          <w:tcPr/>
          <w:p>
            <w:pPr>
              <w:pStyle w:val="Compact"/>
            </w:pPr>
            <m:oMath>
              <m:r>
                <m:t>k</m:t>
              </m:r>
              <m:r>
                <m:rPr>
                  <m:sty m:val="p"/>
                </m:rPr>
                <m:t>=</m:t>
              </m:r>
              <m:r>
                <m:t>1</m:t>
              </m:r>
            </m:oMath>
            <w:r>
              <w:t xml:space="preserve"> </w:t>
            </w:r>
            <w:r>
              <w:t xml:space="preserve">(frecuencia)</w:t>
            </w:r>
          </w:p>
        </w:tc>
        <w:tc>
          <w:tcPr/>
          <w:p>
            <w:pPr>
              <w:pStyle w:val="Compact"/>
            </w:pPr>
            <w:r>
              <w:t xml:space="preserve">Respuesta de</w:t>
            </w:r>
            <w:r>
              <w:t xml:space="preserve"> </w:t>
            </w:r>
            <m:oMath>
              <m:r>
                <m:t>f</m:t>
              </m:r>
            </m:oMath>
            <w:r>
              <w:t xml:space="preserve">,</w:t>
            </w:r>
            <w:r>
              <w:t xml:space="preserve"> </w:t>
            </w:r>
            <m:oMath>
              <m:r>
                <m:t>P</m:t>
              </m:r>
            </m:oMath>
            <w:r>
              <w:t xml:space="preserve"> </w:t>
            </w:r>
            <w:r>
              <w:t xml:space="preserve">y</w:t>
            </w:r>
            <w:r>
              <w:t xml:space="preserve"> </w:t>
            </w:r>
            <m:oMath>
              <m:r>
                <m:t>Q</m:t>
              </m:r>
            </m:oMath>
            <w:r>
              <w:t xml:space="preserve"> </w:t>
            </w:r>
            <w:r>
              <w:t xml:space="preserve">tras una perturbación transitoria en el equilibrio dinámico de frecuencia (p. ej., desbalance generación-carga).</w:t>
            </w:r>
          </w:p>
        </w:tc>
      </w:tr>
      <w:tr>
        <w:tc>
          <w:tcPr/>
          <w:p>
            <w:pPr>
              <w:pStyle w:val="Compact"/>
            </w:pPr>
            <m:oMath>
              <m:r>
                <m:t>k</m:t>
              </m:r>
              <m:r>
                <m:rPr>
                  <m:sty m:val="p"/>
                </m:rPr>
                <m:t>=</m:t>
              </m:r>
              <m:r>
                <m:t>2</m:t>
              </m:r>
            </m:oMath>
            <w:r>
              <w:t xml:space="preserve"> </w:t>
            </w:r>
            <w:r>
              <w:t xml:space="preserve">(potencia activa)</w:t>
            </w:r>
          </w:p>
        </w:tc>
        <w:tc>
          <w:tcPr/>
          <w:p>
            <w:pPr>
              <w:pStyle w:val="Compact"/>
            </w:pPr>
            <w:r>
              <w:t xml:space="preserve">Efecto de un incremento súbito en la potencia activa inyectada o absorbida sobre la frecuencia y las demás variables en los</w:t>
            </w:r>
            <w:r>
              <w:t xml:space="preserve"> </w:t>
            </w:r>
            <m:oMath>
              <m:r>
                <m:t>h</m:t>
              </m:r>
            </m:oMath>
            <w:r>
              <w:t xml:space="preserve"> </w:t>
            </w:r>
            <w:r>
              <w:t xml:space="preserve">meses siguientes.</w:t>
            </w:r>
          </w:p>
        </w:tc>
      </w:tr>
      <w:tr>
        <w:tc>
          <w:tcPr/>
          <w:p>
            <w:pPr>
              <w:pStyle w:val="Compact"/>
            </w:pPr>
            <m:oMath>
              <m:r>
                <m:t>k</m:t>
              </m:r>
              <m:r>
                <m:rPr>
                  <m:sty m:val="p"/>
                </m:rPr>
                <m:t>=</m:t>
              </m:r>
              <m:r>
                <m:t>3</m:t>
              </m:r>
            </m:oMath>
            <w:r>
              <w:t xml:space="preserve"> </w:t>
            </w:r>
            <w:r>
              <w:t xml:space="preserve">(potencia reactiva)</w:t>
            </w:r>
          </w:p>
        </w:tc>
        <w:tc>
          <w:tcPr/>
          <w:p>
            <w:pPr>
              <w:pStyle w:val="Compact"/>
            </w:pPr>
            <w:r>
              <w:t xml:space="preserve">Efecto de una perturbación en el soporte de tensión (potencia reactiva) sobre el resto del sistema.</w:t>
            </w:r>
          </w:p>
        </w:tc>
      </w:tr>
    </w:tbl>
    <w:p>
      <w:pPr>
        <w:pStyle w:val="BodyText"/>
      </w:pPr>
      <w:r>
        <w:rPr>
          <w:b/>
          <w:bCs/>
        </w:rPr>
        <w:t xml:space="preserve">Ejemplo concreto:</w:t>
      </w:r>
      <w:r>
        <w:t xml:space="preserve"> </w:t>
      </w:r>
      <w:r>
        <w:t xml:space="preserve">Si</w:t>
      </w:r>
      <w:r>
        <w:t xml:space="preserve"> </w:t>
      </w:r>
      <m:oMath>
        <m:sSub>
          <m:e>
            <m:r>
              <m:rPr>
                <m:sty m:val="p"/>
              </m:rPr>
              <m:t>Ψ</m:t>
            </m:r>
          </m:e>
          <m:sub>
            <m:r>
              <m:t>h</m:t>
            </m:r>
          </m:sub>
        </m:sSub>
        <m:r>
          <m:rPr>
            <m:sty m:val="p"/>
          </m:rPr>
          <m:t>(</m:t>
        </m:r>
        <m:r>
          <m:t>1</m:t>
        </m:r>
        <m:r>
          <m:rPr>
            <m:sty m:val="p"/>
          </m:rPr>
          <m:t>,</m:t>
        </m:r>
        <m:r>
          <m:t>2</m:t>
        </m:r>
        <m:r>
          <m:rPr>
            <m:sty m:val="p"/>
          </m:rPr>
          <m:t>)</m:t>
        </m:r>
        <m:r>
          <m:rPr>
            <m:sty m:val="p"/>
          </m:rPr>
          <m:t>&lt;</m:t>
        </m:r>
        <m:r>
          <m:t>0</m:t>
        </m:r>
      </m:oMath>
      <w:r>
        <w:t xml:space="preserve"> </w:t>
      </w:r>
      <w:r>
        <w:t xml:space="preserve">para</w:t>
      </w:r>
      <w:r>
        <w:t xml:space="preserve"> </w:t>
      </w:r>
      <m:oMath>
        <m:r>
          <m:t>h</m:t>
        </m:r>
        <m:r>
          <m:rPr>
            <m:sty m:val="p"/>
          </m:rPr>
          <m:t>=</m:t>
        </m:r>
        <m:r>
          <m:t>1</m:t>
        </m:r>
        <m:r>
          <m:rPr>
            <m:sty m:val="p"/>
          </m:rPr>
          <m:t>,</m:t>
        </m:r>
        <m:r>
          <m:t>2</m:t>
        </m:r>
        <m:r>
          <m:rPr>
            <m:sty m:val="p"/>
          </m:rPr>
          <m:t>,</m:t>
        </m:r>
        <m:r>
          <m:rPr>
            <m:sty m:val="p"/>
          </m:rPr>
          <m:t>…</m:t>
        </m:r>
      </m:oMath>
      <w:r>
        <w:t xml:space="preserve">, un shock positivo en potencia activa (aumento de generación neta) provoca una</w:t>
      </w:r>
      <w:r>
        <w:t xml:space="preserve"> </w:t>
      </w:r>
      <w:r>
        <w:rPr>
          <w:b/>
          <w:bCs/>
        </w:rPr>
        <w:t xml:space="preserve">caída en la frecuencia</w:t>
      </w:r>
      <w:r>
        <w:t xml:space="preserve"> </w:t>
      </w:r>
      <w:r>
        <w:t xml:space="preserve">en los periodos subsiguientes, consistente con la dinámica del swing equation en régimen transitorio: un exceso de potencia inyectada acelera los rotores y eleva la frecuencia momentáneamente, pero la respuesta dinámica del sistema (incluyendo regulación primaria y secundaria) puede modificar esa trayectoria en el horizonte de</w:t>
      </w:r>
      <w:r>
        <w:t xml:space="preserve"> </w:t>
      </w:r>
      <m:oMath>
        <m:r>
          <m:t>h</m:t>
        </m:r>
      </m:oMath>
      <w:r>
        <w:t xml:space="preserve"> </w:t>
      </w:r>
      <w:r>
        <w:t xml:space="preserve">periodos.</w:t>
      </w:r>
    </w:p>
    <w:p>
      <w:pPr>
        <w:pStyle w:val="BodyText"/>
      </w:pPr>
      <w:r>
        <w:t xml:space="preserve">La FIR transforma los coeficientes del VAR en magnitudes con unidad física interpretable para el operador del sistema eléctrico.</w:t>
      </w:r>
    </w:p>
    <w:bookmarkEnd w:id="21"/>
    <w:bookmarkStart w:id="22" w:name="X556222a65583e1ccc1233e26150f14fce0486c9"/>
    <w:p>
      <w:pPr>
        <w:pStyle w:val="Heading4"/>
      </w:pPr>
      <w:r>
        <w:t xml:space="preserve">c) Necesidad de la descomposición de Cholesky (</w:t>
      </w:r>
      <m:oMath>
        <m:r>
          <m:rPr>
            <m:sty m:val="p"/>
          </m:rPr>
          <m:t>Σ</m:t>
        </m:r>
        <m:r>
          <m:rPr>
            <m:sty m:val="p"/>
          </m:rPr>
          <m:t>=</m:t>
        </m:r>
        <m:r>
          <m:t>P</m:t>
        </m:r>
        <m:sSup>
          <m:e>
            <m:r>
              <m:t>P</m:t>
            </m:r>
          </m:e>
          <m:sup>
            <m:r>
              <m:rPr>
                <m:sty m:val="p"/>
              </m:rPr>
              <m:t>′</m:t>
            </m:r>
          </m:sup>
        </m:sSup>
      </m:oMath>
      <w:r>
        <w:t xml:space="preserve">)</w:t>
      </w:r>
    </w:p>
    <w:p>
      <w:pPr>
        <w:pStyle w:val="FirstParagraph"/>
      </w:pPr>
      <w:r>
        <w:t xml:space="preserve">Los residuos</w:t>
      </w:r>
      <w:r>
        <w:t xml:space="preserve"> </w:t>
      </w:r>
      <m:oMath>
        <m:sSub>
          <m:e>
            <m:r>
              <m:t>ε</m:t>
            </m:r>
          </m:e>
          <m:sub>
            <m:r>
              <m:t>t</m:t>
            </m:r>
          </m:sub>
        </m:sSub>
      </m:oMath>
      <w:r>
        <w:t xml:space="preserve"> </w:t>
      </w:r>
      <w:r>
        <w:t xml:space="preserve">del VAR tienen matriz de covarianza</w:t>
      </w:r>
      <w:r>
        <w:t xml:space="preserve"> </w:t>
      </w:r>
      <m:oMath>
        <m:r>
          <m:rPr>
            <m:sty m:val="p"/>
          </m:rPr>
          <m:t>Σ</m:t>
        </m:r>
      </m:oMath>
      <w:r>
        <w:t xml:space="preserve"> </w:t>
      </w:r>
      <w:r>
        <w:t xml:space="preserve">que, en general,</w:t>
      </w:r>
      <w:r>
        <w:t xml:space="preserve"> </w:t>
      </w:r>
      <w:r>
        <w:rPr>
          <w:b/>
          <w:bCs/>
        </w:rPr>
        <w:t xml:space="preserve">no es diagonal</w:t>
      </w:r>
      <w:r>
        <w:t xml:space="preserve">. Esto implica que los shocks de distintas variables están</w:t>
      </w:r>
      <w:r>
        <w:t xml:space="preserve"> </w:t>
      </w:r>
      <w:r>
        <w:rPr>
          <w:b/>
          <w:bCs/>
        </w:rPr>
        <w:t xml:space="preserve">contemporáneamente correlacionados</w:t>
      </w:r>
      <w:r>
        <w:t xml:space="preserve">: en un mismo instante</w:t>
      </w:r>
      <w:r>
        <w:t xml:space="preserve"> </w:t>
      </w:r>
      <m:oMath>
        <m:r>
          <m:t>t</m:t>
        </m:r>
      </m:oMath>
      <w:r>
        <w:t xml:space="preserve">, una perturbación en la frecuencia y en la potencia activa ocurren simultáneamente y no son observables de forma separada.</w:t>
      </w:r>
    </w:p>
    <w:p>
      <w:pPr>
        <w:pStyle w:val="BodyText"/>
      </w:pPr>
      <w:r>
        <w:t xml:space="preserve">La FIR no ortogonalizada</w:t>
      </w:r>
      <w:r>
        <w:t xml:space="preserve"> </w:t>
      </w:r>
      <m:oMath>
        <m:sSub>
          <m:e>
            <m:r>
              <m:rPr>
                <m:sty m:val="p"/>
              </m:rPr>
              <m:t>Ψ</m:t>
            </m:r>
          </m:e>
          <m:sub>
            <m:r>
              <m:t>h</m:t>
            </m:r>
          </m:sub>
        </m:sSub>
      </m:oMath>
      <w:r>
        <w:t xml:space="preserve"> </w:t>
      </w:r>
      <w:r>
        <w:t xml:space="preserve">responde a shocks correlacionados, lo que impide aislar el efecto de una sola variable y conduce a interpretaciones ambiguas.</w:t>
      </w:r>
    </w:p>
    <w:p>
      <w:pPr>
        <w:pStyle w:val="BodyText"/>
      </w:pPr>
      <w:r>
        <w:t xml:space="preserve">La descomposición de Cholesky</w:t>
      </w:r>
      <w:r>
        <w:t xml:space="preserve"> </w:t>
      </w:r>
      <m:oMath>
        <m:r>
          <m:rPr>
            <m:sty m:val="p"/>
          </m:rPr>
          <m:t>Σ</m:t>
        </m:r>
        <m:r>
          <m:rPr>
            <m:sty m:val="p"/>
          </m:rPr>
          <m:t>=</m:t>
        </m:r>
        <m:r>
          <m:t>P</m:t>
        </m:r>
        <m:sSup>
          <m:e>
            <m:r>
              <m:t>P</m:t>
            </m:r>
          </m:e>
          <m:sup>
            <m:r>
              <m:rPr>
                <m:sty m:val="p"/>
              </m:rPr>
              <m:t>′</m:t>
            </m:r>
          </m:sup>
        </m:sSup>
      </m:oMath>
      <w:r>
        <w:t xml:space="preserve">, con</w:t>
      </w:r>
      <w:r>
        <w:t xml:space="preserve"> </w:t>
      </w:r>
      <m:oMath>
        <m:r>
          <m:t>P</m:t>
        </m:r>
      </m:oMath>
      <w:r>
        <w:t xml:space="preserve"> </w:t>
      </w:r>
      <w:r>
        <w:t xml:space="preserve">triangular inferior, define</w:t>
      </w:r>
      <w:r>
        <w:t xml:space="preserve"> </w:t>
      </w:r>
      <w:r>
        <w:rPr>
          <w:b/>
          <w:bCs/>
        </w:rPr>
        <w:t xml:space="preserve">innovaciones ortogonalizadas</w:t>
      </w:r>
      <w:r>
        <w:t xml:space="preserve">:</w:t>
      </w:r>
    </w:p>
    <w:p>
      <w:pPr>
        <w:pStyle w:val="BodyText"/>
      </w:pPr>
      <m:oMathPara>
        <m:oMathParaPr>
          <m:jc m:val="center"/>
        </m:oMathParaPr>
        <m:oMath>
          <m:sSub>
            <m:e>
              <m:r>
                <m:t>u</m:t>
              </m:r>
            </m:e>
            <m:sub>
              <m:r>
                <m:t>t</m:t>
              </m:r>
            </m:sub>
          </m:sSub>
          <m:r>
            <m:rPr>
              <m:sty m:val="p"/>
            </m:rPr>
            <m:t>=</m:t>
          </m:r>
          <m:sSup>
            <m:e>
              <m:r>
                <m:t>P</m:t>
              </m:r>
            </m:e>
            <m:sup>
              <m:r>
                <m:rPr>
                  <m:sty m:val="p"/>
                </m:rPr>
                <m:t>−</m:t>
              </m:r>
              <m:r>
                <m:t>1</m:t>
              </m:r>
            </m:sup>
          </m:sSup>
          <m:sSub>
            <m:e>
              <m:r>
                <m:t>ε</m:t>
              </m:r>
            </m:e>
            <m:sub>
              <m:r>
                <m:t>t</m:t>
              </m:r>
            </m:sub>
          </m:sSub>
          <m:r>
            <m:rPr>
              <m:sty m:val="p"/>
            </m:rPr>
            <m:t>,</m:t>
          </m:r>
          <m:r>
            <m:t> </m:t>
          </m:r>
          <m:r>
            <m:rPr>
              <m:scr m:val="double-struck"/>
              <m:sty m:val="p"/>
            </m:rPr>
            <m:t>E</m:t>
          </m:r>
          <m:r>
            <m:rPr>
              <m:sty m:val="p"/>
            </m:rPr>
            <m:t>[</m:t>
          </m:r>
          <m:sSub>
            <m:e>
              <m:r>
                <m:t>u</m:t>
              </m:r>
            </m:e>
            <m:sub>
              <m:r>
                <m:t>t</m:t>
              </m:r>
            </m:sub>
          </m:sSub>
          <m:sSub>
            <m:e>
              <m:r>
                <m:t>u</m:t>
              </m:r>
            </m:e>
            <m:sub>
              <m:sSup>
                <m:e>
                  <m:r>
                    <m:t>t</m:t>
                  </m:r>
                </m:e>
                <m:sup>
                  <m:r>
                    <m:rPr>
                      <m:sty m:val="p"/>
                    </m:rPr>
                    <m:t>′</m:t>
                  </m:r>
                </m:sup>
              </m:sSup>
            </m:sub>
          </m:sSub>
          <m:r>
            <m:rPr>
              <m:sty m:val="p"/>
            </m:rPr>
            <m:t>]</m:t>
          </m:r>
          <m:r>
            <m:rPr>
              <m:sty m:val="p"/>
            </m:rPr>
            <m:t>=</m:t>
          </m:r>
          <m:sSub>
            <m:e>
              <m:r>
                <m:t>I</m:t>
              </m:r>
            </m:e>
            <m:sub>
              <m:r>
                <m:t>K</m:t>
              </m:r>
            </m:sub>
          </m:sSub>
        </m:oMath>
      </m:oMathPara>
    </w:p>
    <w:p>
      <w:pPr>
        <w:pStyle w:val="FirstParagraph"/>
      </w:pPr>
      <w:r>
        <w:t xml:space="preserve">Las</w:t>
      </w:r>
      <w:r>
        <w:t xml:space="preserve"> </w:t>
      </w:r>
      <w:r>
        <w:rPr>
          <w:b/>
          <w:bCs/>
        </w:rPr>
        <w:t xml:space="preserve">FIR ortogonalizadas</w:t>
      </w:r>
      <w:r>
        <w:t xml:space="preserve"> </w:t>
      </w:r>
      <w:r>
        <w:t xml:space="preserve">se calculan como:</w:t>
      </w:r>
    </w:p>
    <w:p>
      <w:pPr>
        <w:pStyle w:val="BodyText"/>
      </w:pPr>
      <m:oMathPara>
        <m:oMathParaPr>
          <m:jc m:val="center"/>
        </m:oMathParaPr>
        <m:oMath>
          <m:sSub>
            <m:e>
              <m:r>
                <m:rPr>
                  <m:sty m:val="p"/>
                </m:rPr>
                <m:t>Θ</m:t>
              </m:r>
            </m:e>
            <m:sub>
              <m:r>
                <m:t>h</m:t>
              </m:r>
            </m:sub>
          </m:sSub>
          <m:r>
            <m:rPr>
              <m:sty m:val="p"/>
            </m:rPr>
            <m:t>=</m:t>
          </m:r>
          <m:sSub>
            <m:e>
              <m:r>
                <m:rPr>
                  <m:sty m:val="p"/>
                </m:rPr>
                <m:t>Ψ</m:t>
              </m:r>
            </m:e>
            <m:sub>
              <m:r>
                <m:t>h</m:t>
              </m:r>
            </m:sub>
          </m:sSub>
          <m:r>
            <m:t>P</m:t>
          </m:r>
        </m:oMath>
      </m:oMathPara>
    </w:p>
    <w:p>
      <w:pPr>
        <w:pStyle w:val="FirstParagraph"/>
      </w:pPr>
      <w:r>
        <w:rPr>
          <w:b/>
          <w:bCs/>
        </w:rPr>
        <w:t xml:space="preserve">Razones de su uso obligatorio:</w:t>
      </w:r>
    </w:p>
    <w:p>
      <w:pPr>
        <w:pStyle w:val="Compact"/>
        <w:numPr>
          <w:ilvl w:val="0"/>
          <w:numId w:val="1001"/>
        </w:numPr>
      </w:pPr>
      <w:r>
        <w:rPr>
          <w:b/>
          <w:bCs/>
        </w:rPr>
        <w:t xml:space="preserve">Identificación estructural:</w:t>
      </w:r>
      <w:r>
        <w:t xml:space="preserve"> </w:t>
      </w:r>
      <w:r>
        <w:t xml:space="preserve">Aísla el efecto de un shock en una variable sin contaminación contemporánea de las demás (según el orden de triangularización).</w:t>
      </w:r>
    </w:p>
    <w:p>
      <w:pPr>
        <w:pStyle w:val="Compact"/>
        <w:numPr>
          <w:ilvl w:val="0"/>
          <w:numId w:val="1001"/>
        </w:numPr>
      </w:pPr>
      <w:r>
        <w:rPr>
          <w:b/>
          <w:bCs/>
        </w:rPr>
        <w:t xml:space="preserve">Interpretabilidad causal:</w:t>
      </w:r>
      <w:r>
        <w:t xml:space="preserve"> </w:t>
      </w:r>
      <w:r>
        <w:t xml:space="preserve">Permite asignar un sentido direccional a la propagación (p. ej.,</w:t>
      </w:r>
      <w:r>
        <w:t xml:space="preserve"> </w:t>
      </w:r>
      <w:r>
        <w:t xml:space="preserve">“shock en</w:t>
      </w:r>
      <w:r>
        <w:t xml:space="preserve"> </w:t>
      </w:r>
      <m:oMath>
        <m:sSub>
          <m:e>
            <m:r>
              <m:t>P</m:t>
            </m:r>
          </m:e>
          <m:sub>
            <m:r>
              <m:t>t</m:t>
            </m:r>
          </m:sub>
        </m:sSub>
      </m:oMath>
      <w:r>
        <w:t xml:space="preserve"> </w:t>
      </w:r>
      <w:r>
        <w:t xml:space="preserve">→ respuesta en</w:t>
      </w:r>
      <w:r>
        <w:t xml:space="preserve"> </w:t>
      </w:r>
      <m:oMath>
        <m:sSub>
          <m:e>
            <m:r>
              <m:t>f</m:t>
            </m:r>
          </m:e>
          <m:sub>
            <m:r>
              <m:t>t</m:t>
            </m:r>
          </m:sub>
        </m:sSub>
      </m:oMath>
      <w:r>
        <w:t xml:space="preserve">”</w:t>
      </w:r>
      <w:r>
        <w:t xml:space="preserve">).</w:t>
      </w:r>
    </w:p>
    <w:p>
      <w:pPr>
        <w:pStyle w:val="Compact"/>
        <w:numPr>
          <w:ilvl w:val="0"/>
          <w:numId w:val="1001"/>
        </w:numPr>
      </w:pPr>
      <w:r>
        <w:rPr>
          <w:b/>
          <w:bCs/>
        </w:rPr>
        <w:t xml:space="preserve">Normalización:</w:t>
      </w:r>
      <w:r>
        <w:t xml:space="preserve"> </w:t>
      </w:r>
      <w:r>
        <w:t xml:space="preserve">Los shocks ortogonalizados tienen varianza unitaria, facilitando comparaciones entre variables de distinta escala (Hz vs. MW vs. MVAR).</w:t>
      </w:r>
    </w:p>
    <w:p>
      <w:pPr>
        <w:pStyle w:val="FirstParagraph"/>
      </w:pPr>
      <w:r>
        <w:rPr>
          <w:b/>
          <w:bCs/>
        </w:rPr>
        <w:t xml:space="preserve">Advertencia:</w:t>
      </w:r>
      <w:r>
        <w:t xml:space="preserve"> </w:t>
      </w:r>
      <w:r>
        <w:t xml:space="preserve">El orden de las variables en la triangularización de Cholesky es una ** restricción de identificación**. En sistemas de potencia, el ordenamiento típico</w:t>
      </w:r>
      <w:r>
        <w:t xml:space="preserve"> </w:t>
      </w:r>
      <m:oMath>
        <m:r>
          <m:rPr>
            <m:sty m:val="p"/>
          </m:rPr>
          <m:t>[</m:t>
        </m:r>
        <m:r>
          <m:t>f</m:t>
        </m:r>
        <m:r>
          <m:rPr>
            <m:sty m:val="p"/>
          </m:rPr>
          <m:t>,</m:t>
        </m:r>
        <m:r>
          <m:t>P</m:t>
        </m:r>
        <m:r>
          <m:rPr>
            <m:sty m:val="p"/>
          </m:rPr>
          <m:t>,</m:t>
        </m:r>
        <m:r>
          <m:t>Q</m:t>
        </m:r>
        <m:r>
          <m:rPr>
            <m:sty m:val="p"/>
          </m:rPr>
          <m:t>]</m:t>
        </m:r>
      </m:oMath>
      <w:r>
        <w:t xml:space="preserve"> </w:t>
      </w:r>
      <w:r>
        <w:t xml:space="preserve">asume que la frecuencia responde instantáneamente a los shocks propios pero no a los de</w:t>
      </w:r>
      <w:r>
        <w:t xml:space="preserve"> </w:t>
      </w:r>
      <m:oMath>
        <m:r>
          <m:t>P</m:t>
        </m:r>
      </m:oMath>
      <w:r>
        <w:t xml:space="preserve"> </w:t>
      </w:r>
      <w:r>
        <w:t xml:space="preserve">y</w:t>
      </w:r>
      <w:r>
        <w:t xml:space="preserve"> </w:t>
      </w:r>
      <m:oMath>
        <m:r>
          <m:t>Q</m:t>
        </m:r>
      </m:oMath>
      <w:r>
        <w:t xml:space="preserve"> </w:t>
      </w:r>
      <w:r>
        <w:t xml:space="preserve">en el mismo periodo, lo cual es coherente con la jerarquía temporal del control de frecuencia.</w:t>
      </w:r>
    </w:p>
    <w:p>
      <w:r>
        <w:pict>
          <v:rect style="width:0;height:1.5pt" o:hralign="center" o:hrstd="t" o:hr="t"/>
        </w:pict>
      </w:r>
    </w:p>
    <w:bookmarkEnd w:id="22"/>
    <w:bookmarkEnd w:id="23"/>
    <w:bookmarkStart w:id="27" w:name="X8142b74d68211e1037decb41d1030de0272349b"/>
    <w:p>
      <w:pPr>
        <w:pStyle w:val="Heading3"/>
      </w:pPr>
      <w:r>
        <w:t xml:space="preserve">Pregunta 2 (15 %) — Cointegración en Sistemas de Potencia</w:t>
      </w:r>
    </w:p>
    <w:bookmarkStart w:id="24" w:name="a-concepto-de-cointegración"/>
    <w:p>
      <w:pPr>
        <w:pStyle w:val="Heading4"/>
      </w:pPr>
      <w:r>
        <w:t xml:space="preserve">a) Concepto de cointegración</w:t>
      </w:r>
    </w:p>
    <w:p>
      <w:pPr>
        <w:pStyle w:val="FirstParagraph"/>
      </w:pPr>
      <w:r>
        <w:t xml:space="preserve">Un vector de series temporales</w:t>
      </w:r>
      <w:r>
        <w:t xml:space="preserve"> </w:t>
      </w:r>
      <m:oMath>
        <m:sSub>
          <m:e>
            <m:r>
              <m:t>X</m:t>
            </m:r>
          </m:e>
          <m:sub>
            <m:r>
              <m:t>t</m:t>
            </m:r>
          </m:sub>
        </m:sSub>
        <m:r>
          <m:rPr>
            <m:sty m:val="p"/>
          </m:rPr>
          <m:t>=</m:t>
        </m:r>
        <m:r>
          <m:rPr>
            <m:sty m:val="p"/>
          </m:rPr>
          <m:t>(</m:t>
        </m:r>
        <m:sSub>
          <m:e>
            <m:r>
              <m:t>X</m:t>
            </m:r>
          </m:e>
          <m:sub>
            <m:r>
              <m:t>1</m:t>
            </m:r>
            <m:r>
              <m:t>t</m:t>
            </m:r>
          </m:sub>
        </m:sSub>
        <m:r>
          <m:rPr>
            <m:sty m:val="p"/>
          </m:rPr>
          <m:t>,</m:t>
        </m:r>
        <m:r>
          <m:rPr>
            <m:sty m:val="p"/>
          </m:rPr>
          <m:t>…</m:t>
        </m:r>
        <m:r>
          <m:rPr>
            <m:sty m:val="p"/>
          </m:rPr>
          <m:t>,</m:t>
        </m:r>
        <m:sSub>
          <m:e>
            <m:r>
              <m:t>X</m:t>
            </m:r>
          </m:e>
          <m:sub>
            <m:r>
              <m:t>K</m:t>
            </m:r>
            <m:r>
              <m:t>t</m:t>
            </m:r>
          </m:sub>
        </m:sSub>
        <m:sSup>
          <m:e>
            <m:r>
              <m:rPr>
                <m:sty m:val="p"/>
              </m:rPr>
              <m:t>)</m:t>
            </m:r>
          </m:e>
          <m:sup>
            <m:r>
              <m:rPr>
                <m:sty m:val="p"/>
              </m:rPr>
              <m:t>′</m:t>
            </m:r>
          </m:sup>
        </m:sSup>
      </m:oMath>
      <w:r>
        <w:t xml:space="preserve"> </w:t>
      </w:r>
      <w:r>
        <w:t xml:space="preserve">se dice que es</w:t>
      </w:r>
      <w:r>
        <w:t xml:space="preserve"> </w:t>
      </w:r>
      <w:r>
        <w:rPr>
          <w:b/>
          <w:bCs/>
        </w:rPr>
        <w:t xml:space="preserve">integrado de orden uno</w:t>
      </w:r>
      <w:r>
        <w:t xml:space="preserve">, denotado</w:t>
      </w:r>
      <w:r>
        <w:t xml:space="preserve"> </w:t>
      </w:r>
      <m:oMath>
        <m:r>
          <m:t>I</m:t>
        </m:r>
        <m:r>
          <m:rPr>
            <m:sty m:val="p"/>
          </m:rPr>
          <m:t>(</m:t>
        </m:r>
        <m:r>
          <m:t>1</m:t>
        </m:r>
        <m:r>
          <m:rPr>
            <m:sty m:val="p"/>
          </m:rPr>
          <m:t>)</m:t>
        </m:r>
      </m:oMath>
      <w:r>
        <w:t xml:space="preserve">, si cada componente</w:t>
      </w:r>
      <w:r>
        <w:t xml:space="preserve"> </w:t>
      </w:r>
      <m:oMath>
        <m:sSub>
          <m:e>
            <m:r>
              <m:t>X</m:t>
            </m:r>
          </m:e>
          <m:sub>
            <m:r>
              <m:t>i</m:t>
            </m:r>
            <m:r>
              <m:t>t</m:t>
            </m:r>
          </m:sub>
        </m:sSub>
      </m:oMath>
      <w:r>
        <w:t xml:space="preserve"> </w:t>
      </w:r>
      <w:r>
        <w:t xml:space="preserve">requiere una diferencia primera para alcanzar estacionariedad:</w:t>
      </w:r>
    </w:p>
    <w:p>
      <w:pPr>
        <w:pStyle w:val="BodyText"/>
      </w:pPr>
      <m:oMathPara>
        <m:oMathParaPr>
          <m:jc m:val="center"/>
        </m:oMathParaPr>
        <m:oMath>
          <m:r>
            <m:rPr>
              <m:sty m:val="p"/>
            </m:rPr>
            <m:t>Δ</m:t>
          </m:r>
          <m:sSub>
            <m:e>
              <m:r>
                <m:t>X</m:t>
              </m:r>
            </m:e>
            <m:sub>
              <m:r>
                <m:t>i</m:t>
              </m:r>
              <m:r>
                <m:t>t</m:t>
              </m:r>
            </m:sub>
          </m:sSub>
          <m:r>
            <m:rPr>
              <m:sty m:val="p"/>
            </m:rPr>
            <m:t>∼</m:t>
          </m:r>
          <m:r>
            <m:t>I</m:t>
          </m:r>
          <m:r>
            <m:rPr>
              <m:sty m:val="p"/>
            </m:rPr>
            <m:t>(</m:t>
          </m:r>
          <m:r>
            <m:t>0</m:t>
          </m:r>
          <m:r>
            <m:rPr>
              <m:sty m:val="p"/>
            </m:rPr>
            <m:t>)</m:t>
          </m:r>
          <m:r>
            <m:t> </m:t>
          </m:r>
          <m:r>
            <m:rPr>
              <m:sty m:val="p"/>
            </m:rPr>
            <m:t>∀</m:t>
          </m:r>
          <m:r>
            <m:t>i</m:t>
          </m:r>
        </m:oMath>
      </m:oMathPara>
    </w:p>
    <w:p>
      <w:pPr>
        <w:pStyle w:val="FirstParagraph"/>
      </w:pPr>
      <w:r>
        <w:t xml:space="preserve">Es decir, cada variable individual presenta una raíz unitaria (comportamiento tipo random walk o tendencia estocástica).</w:t>
      </w:r>
    </w:p>
    <w:p>
      <w:pPr>
        <w:pStyle w:val="BodyText"/>
      </w:pPr>
      <w:r>
        <w:t xml:space="preserve">Sin embargo, en sistemas económicos y físicos reales, las variables individuales pueden ser no estacionarias pero estar</w:t>
      </w:r>
      <w:r>
        <w:t xml:space="preserve"> </w:t>
      </w:r>
      <w:r>
        <w:rPr>
          <w:b/>
          <w:bCs/>
        </w:rPr>
        <w:t xml:space="preserve">ligadas por relaciones de equilibrio de largo plazo</w:t>
      </w:r>
      <w:r>
        <w:t xml:space="preserve">. Se dice que el vector</w:t>
      </w:r>
      <w:r>
        <w:t xml:space="preserve"> </w:t>
      </w:r>
      <m:oMath>
        <m:sSub>
          <m:e>
            <m:r>
              <m:t>X</m:t>
            </m:r>
          </m:e>
          <m:sub>
            <m:r>
              <m:t>t</m:t>
            </m:r>
          </m:sub>
        </m:sSub>
      </m:oMath>
      <w:r>
        <w:t xml:space="preserve"> </w:t>
      </w:r>
      <w:r>
        <w:t xml:space="preserve">es</w:t>
      </w:r>
      <w:r>
        <w:t xml:space="preserve"> </w:t>
      </w:r>
      <w:r>
        <w:rPr>
          <w:b/>
          <w:bCs/>
        </w:rPr>
        <w:t xml:space="preserve">cointegrado</w:t>
      </w:r>
      <w:r>
        <w:t xml:space="preserve">, denotado</w:t>
      </w:r>
      <w:r>
        <w:t xml:space="preserve"> </w:t>
      </w:r>
      <m:oMath>
        <m:sSub>
          <m:e>
            <m:r>
              <m:t>X</m:t>
            </m:r>
          </m:e>
          <m:sub>
            <m:r>
              <m:t>t</m:t>
            </m:r>
          </m:sub>
        </m:sSub>
        <m:r>
          <m:rPr>
            <m:sty m:val="p"/>
          </m:rPr>
          <m:t>∼</m:t>
        </m:r>
        <m:r>
          <m:t>C</m:t>
        </m:r>
        <m:r>
          <m:t>I</m:t>
        </m:r>
        <m:r>
          <m:rPr>
            <m:sty m:val="p"/>
          </m:rPr>
          <m:t>(</m:t>
        </m:r>
        <m:r>
          <m:t>1</m:t>
        </m:r>
        <m:r>
          <m:rPr>
            <m:sty m:val="p"/>
          </m:rPr>
          <m:t>,</m:t>
        </m:r>
        <m:r>
          <m:t>1</m:t>
        </m:r>
        <m:r>
          <m:rPr>
            <m:sty m:val="p"/>
          </m:rPr>
          <m:t>)</m:t>
        </m:r>
      </m:oMath>
      <w:r>
        <w:t xml:space="preserve">, si existe al menos un vector</w:t>
      </w:r>
      <w:r>
        <w:t xml:space="preserve"> </w:t>
      </w:r>
      <m:oMath>
        <m:r>
          <m:t>β</m:t>
        </m:r>
        <m:r>
          <m:rPr>
            <m:sty m:val="p"/>
          </m:rPr>
          <m:t>∈</m:t>
        </m:r>
        <m:sSup>
          <m:e>
            <m:r>
              <m:rPr>
                <m:scr m:val="double-struck"/>
                <m:sty m:val="p"/>
              </m:rPr>
              <m:t>R</m:t>
            </m:r>
          </m:e>
          <m:sup>
            <m:r>
              <m:t>K</m:t>
            </m:r>
          </m:sup>
        </m:sSup>
      </m:oMath>
      <w:r>
        <w:t xml:space="preserve"> </w:t>
      </w:r>
      <w:r>
        <w:t xml:space="preserve">tal que:</w:t>
      </w:r>
    </w:p>
    <w:p>
      <w:pPr>
        <w:pStyle w:val="BodyText"/>
      </w:pPr>
      <m:oMathPara>
        <m:oMathParaPr>
          <m:jc m:val="center"/>
        </m:oMathParaPr>
        <m:oMath>
          <m:sSup>
            <m:e>
              <m:r>
                <m:t>β</m:t>
              </m:r>
            </m:e>
            <m:sup>
              <m:r>
                <m:rPr>
                  <m:sty m:val="p"/>
                </m:rPr>
                <m:t>′</m:t>
              </m:r>
            </m:sup>
          </m:sSup>
          <m:sSub>
            <m:e>
              <m:r>
                <m:t>X</m:t>
              </m:r>
            </m:e>
            <m:sub>
              <m:r>
                <m:t>t</m:t>
              </m:r>
            </m:sub>
          </m:sSub>
          <m:r>
            <m:rPr>
              <m:sty m:val="p"/>
            </m:rPr>
            <m:t>∼</m:t>
          </m:r>
          <m:r>
            <m:t>I</m:t>
          </m:r>
          <m:r>
            <m:rPr>
              <m:sty m:val="p"/>
            </m:rPr>
            <m:t>(</m:t>
          </m:r>
          <m:r>
            <m:t>0</m:t>
          </m:r>
          <m:r>
            <m:rPr>
              <m:sty m:val="p"/>
            </m:rPr>
            <m:t>)</m:t>
          </m:r>
        </m:oMath>
      </m:oMathPara>
    </w:p>
    <w:p>
      <w:pPr>
        <w:pStyle w:val="FirstParagraph"/>
      </w:pPr>
      <w:r>
        <w:t xml:space="preserve">Es decir, existe una</w:t>
      </w:r>
      <w:r>
        <w:t xml:space="preserve"> </w:t>
      </w:r>
      <w:r>
        <w:rPr>
          <w:b/>
          <w:bCs/>
        </w:rPr>
        <w:t xml:space="preserve">combinación lineal</w:t>
      </w:r>
      <w:r>
        <w:t xml:space="preserve"> </w:t>
      </w:r>
      <w:r>
        <w:t xml:space="preserve">de las variables no estacionarias que es estacionaria.</w:t>
      </w:r>
    </w:p>
    <w:p>
      <w:pPr>
        <w:pStyle w:val="BodyText"/>
      </w:pPr>
      <w:r>
        <w:rPr>
          <w:b/>
          <w:bCs/>
        </w:rPr>
        <w:t xml:space="preserve">Interpretación:</w:t>
      </w:r>
      <w:r>
        <w:t xml:space="preserve"> </w:t>
      </w:r>
      <w:r>
        <w:t xml:space="preserve">Aunque cada variable</w:t>
      </w:r>
      <w:r>
        <w:t xml:space="preserve"> </w:t>
      </w:r>
      <w:r>
        <w:t xml:space="preserve">“deriva”</w:t>
      </w:r>
      <w:r>
        <w:t xml:space="preserve"> </w:t>
      </w:r>
      <w:r>
        <w:t xml:space="preserve">individualmente, el sistema como conjunto revierte hacia una relación de equilibrio de largo plazo. La desviación</w:t>
      </w:r>
      <w:r>
        <w:t xml:space="preserve"> </w:t>
      </w:r>
      <m:oMath>
        <m:sSup>
          <m:e>
            <m:r>
              <m:t>β</m:t>
            </m:r>
          </m:e>
          <m:sup>
            <m:r>
              <m:rPr>
                <m:sty m:val="p"/>
              </m:rPr>
              <m:t>′</m:t>
            </m:r>
          </m:sup>
        </m:sSup>
        <m:sSub>
          <m:e>
            <m:r>
              <m:t>X</m:t>
            </m:r>
          </m:e>
          <m:sub>
            <m:r>
              <m:t>t</m:t>
            </m:r>
          </m:sub>
        </m:sSub>
      </m:oMath>
      <w:r>
        <w:t xml:space="preserve"> </w:t>
      </w:r>
      <w:r>
        <w:t xml:space="preserve">representa el</w:t>
      </w:r>
      <w:r>
        <w:t xml:space="preserve"> </w:t>
      </w:r>
      <w:r>
        <w:rPr>
          <w:b/>
          <w:bCs/>
        </w:rPr>
        <w:t xml:space="preserve">error de equilibrio</w:t>
      </w:r>
      <w:r>
        <w:t xml:space="preserve"> </w:t>
      </w:r>
      <w:r>
        <w:t xml:space="preserve">o desbalance, que es transitorio y tiende a corregirse.</w:t>
      </w:r>
    </w:p>
    <w:p>
      <w:pPr>
        <w:pStyle w:val="BodyText"/>
      </w:pPr>
      <w:r>
        <w:t xml:space="preserve">En notación del modelo de corrección de errores (VECM):</w:t>
      </w:r>
    </w:p>
    <w:p>
      <w:pPr>
        <w:pStyle w:val="BodyText"/>
      </w:pPr>
      <m:oMathPara>
        <m:oMathParaPr>
          <m:jc m:val="center"/>
        </m:oMathParaPr>
        <m:oMath>
          <m:r>
            <m:rPr>
              <m:sty m:val="p"/>
            </m:rPr>
            <m:t>Δ</m:t>
          </m:r>
          <m:sSub>
            <m:e>
              <m:r>
                <m:t>X</m:t>
              </m:r>
            </m:e>
            <m:sub>
              <m:r>
                <m:t>t</m:t>
              </m:r>
            </m:sub>
          </m:sSub>
          <m:r>
            <m:rPr>
              <m:sty m:val="p"/>
            </m:rPr>
            <m:t>=</m:t>
          </m:r>
          <m:r>
            <m:rPr>
              <m:sty m:val="p"/>
            </m:rPr>
            <m:t>Π</m:t>
          </m:r>
          <m:sSub>
            <m:e>
              <m:r>
                <m:t>X</m:t>
              </m:r>
            </m:e>
            <m:sub>
              <m:r>
                <m:t>t</m:t>
              </m:r>
              <m:r>
                <m:rPr>
                  <m:sty m:val="p"/>
                </m:rPr>
                <m:t>−</m:t>
              </m:r>
              <m:r>
                <m:t>1</m:t>
              </m:r>
            </m:sub>
          </m:sSub>
          <m:r>
            <m:rPr>
              <m:sty m:val="p"/>
            </m:rPr>
            <m:t>+</m:t>
          </m:r>
          <m:nary>
            <m:naryPr>
              <m:chr m:val="∑"/>
              <m:limLoc m:val="undOvr"/>
              <m:subHide m:val="off"/>
              <m:supHide m:val="off"/>
            </m:naryPr>
            <m:sub>
              <m:r>
                <m:t>i</m:t>
              </m:r>
              <m:r>
                <m:rPr>
                  <m:sty m:val="p"/>
                </m:rPr>
                <m:t>=</m:t>
              </m:r>
              <m:r>
                <m:t>1</m:t>
              </m:r>
            </m:sub>
            <m:sup>
              <m:r>
                <m:t>p</m:t>
              </m:r>
              <m:r>
                <m:rPr>
                  <m:sty m:val="p"/>
                </m:rPr>
                <m:t>−</m:t>
              </m:r>
              <m:r>
                <m:t>1</m:t>
              </m:r>
            </m:sup>
            <m:e>
              <m:sSub>
                <m:e>
                  <m:r>
                    <m:rPr>
                      <m:sty m:val="p"/>
                    </m:rPr>
                    <m:t>Γ</m:t>
                  </m:r>
                </m:e>
                <m:sub>
                  <m:r>
                    <m:t>i</m:t>
                  </m:r>
                </m:sub>
              </m:sSub>
            </m:e>
          </m:nary>
          <m:r>
            <m:rPr>
              <m:sty m:val="p"/>
            </m:rPr>
            <m:t>Δ</m:t>
          </m:r>
          <m:sSub>
            <m:e>
              <m:r>
                <m:t>X</m:t>
              </m:r>
            </m:e>
            <m:sub>
              <m:r>
                <m:t>t</m:t>
              </m:r>
              <m:r>
                <m:rPr>
                  <m:sty m:val="p"/>
                </m:rPr>
                <m:t>−</m:t>
              </m:r>
              <m:r>
                <m:t>i</m:t>
              </m:r>
            </m:sub>
          </m:sSub>
          <m:r>
            <m:rPr>
              <m:sty m:val="p"/>
            </m:rPr>
            <m:t>+</m:t>
          </m:r>
          <m:sSub>
            <m:e>
              <m:r>
                <m:t>ε</m:t>
              </m:r>
            </m:e>
            <m:sub>
              <m:r>
                <m:t>t</m:t>
              </m:r>
            </m:sub>
          </m:sSub>
        </m:oMath>
      </m:oMathPara>
    </w:p>
    <w:p>
      <w:pPr>
        <w:pStyle w:val="FirstParagraph"/>
      </w:pPr>
      <w:r>
        <w:t xml:space="preserve">donde</w:t>
      </w:r>
      <w:r>
        <w:t xml:space="preserve"> </w:t>
      </w:r>
      <m:oMath>
        <m:r>
          <m:rPr>
            <m:sty m:val="p"/>
          </m:rPr>
          <m:t>Π</m:t>
        </m:r>
        <m:r>
          <m:rPr>
            <m:sty m:val="p"/>
          </m:rPr>
          <m:t>=</m:t>
        </m:r>
        <m:r>
          <m:t>α</m:t>
        </m:r>
        <m:sSup>
          <m:e>
            <m:r>
              <m:t>β</m:t>
            </m:r>
          </m:e>
          <m:sup>
            <m:r>
              <m:rPr>
                <m:sty m:val="p"/>
              </m:rPr>
              <m:t>′</m:t>
            </m:r>
          </m:sup>
        </m:sSup>
      </m:oMath>
      <w:r>
        <w:t xml:space="preserve"> </w:t>
      </w:r>
      <w:r>
        <w:t xml:space="preserve">con</w:t>
      </w:r>
      <w:r>
        <w:t xml:space="preserve"> </w:t>
      </w:r>
      <m:oMath>
        <m:r>
          <m:rPr>
            <m:nor/>
            <m:sty m:val="p"/>
          </m:rPr>
          <m:t>rank</m:t>
        </m:r>
        <m:r>
          <m:rPr>
            <m:sty m:val="p"/>
          </m:rPr>
          <m:t>(</m:t>
        </m:r>
        <m:r>
          <m:rPr>
            <m:sty m:val="p"/>
          </m:rPr>
          <m:t>Π</m:t>
        </m:r>
        <m:r>
          <m:rPr>
            <m:sty m:val="p"/>
          </m:rPr>
          <m:t>)</m:t>
        </m:r>
        <m:r>
          <m:rPr>
            <m:sty m:val="p"/>
          </m:rPr>
          <m:t>=</m:t>
        </m:r>
        <m:r>
          <m:t>r</m:t>
        </m:r>
      </m:oMath>
      <w:r>
        <w:t xml:space="preserve"> </w:t>
      </w:r>
      <w:r>
        <w:t xml:space="preserve">indicando el número de relaciones de cointegración.</w:t>
      </w:r>
    </w:p>
    <w:bookmarkEnd w:id="24"/>
    <w:bookmarkStart w:id="25" w:name="X80e53e05bee6f0d6a47972c92da9b3fdd6ab085"/>
    <w:p>
      <w:pPr>
        <w:pStyle w:val="Heading4"/>
      </w:pPr>
      <w:r>
        <w:t xml:space="preserve">b) Aplicación en planificación de expansión de red (10–20 años)</w:t>
      </w:r>
    </w:p>
    <w:p>
      <w:pPr>
        <w:pStyle w:val="FirstParagraph"/>
      </w:pPr>
      <w:r>
        <w:t xml:space="preserve">En la planificación estratégica de la red de transmisión eléctrica a largo plazo, la cointegración permite modelar relaciones de equilibrio entre variables macro del sector eléctrico que, individualmente, presentan tendencias (crecimiento de demanda, expansión de capacidad instalada), pero que mantienen una relación estable en el largo plazo.</w:t>
      </w:r>
    </w:p>
    <w:p>
      <w:pPr>
        <w:pStyle w:val="BodyText"/>
      </w:pPr>
      <w:r>
        <w:rPr>
          <w:b/>
          <w:bCs/>
        </w:rPr>
        <w:t xml:space="preserve">Variables involucradas: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Descripción</w:t>
            </w:r>
          </w:p>
        </w:tc>
      </w:tr>
      <w:tr>
        <w:tc>
          <w:tcPr/>
          <w:p>
            <w:pPr>
              <w:pStyle w:val="Compact"/>
            </w:pPr>
            <m:oMath>
              <m:sSub>
                <m:e>
                  <m:r>
                    <m:t>D</m:t>
                  </m:r>
                </m:e>
                <m:sub>
                  <m:r>
                    <m:t>t</m:t>
                  </m:r>
                </m:sub>
              </m:sSub>
            </m:oMath>
          </w:p>
        </w:tc>
        <w:tc>
          <w:tcPr/>
          <w:p>
            <w:pPr>
              <w:pStyle w:val="Compact"/>
            </w:pPr>
            <w:r>
              <w:t xml:space="preserve">Demanda máxima de energía (MW)</w:t>
            </w:r>
          </w:p>
        </w:tc>
      </w:tr>
      <w:tr>
        <w:tc>
          <w:tcPr/>
          <w:p>
            <w:pPr>
              <w:pStyle w:val="Compact"/>
            </w:pPr>
            <m:oMath>
              <m:sSub>
                <m:e>
                  <m:r>
                    <m:t>G</m:t>
                  </m:r>
                </m:e>
                <m:sub>
                  <m:r>
                    <m:t>t</m:t>
                  </m:r>
                </m:sub>
              </m:sSub>
            </m:oMath>
          </w:p>
        </w:tc>
        <w:tc>
          <w:tcPr/>
          <w:p>
            <w:pPr>
              <w:pStyle w:val="Compact"/>
            </w:pPr>
            <w:r>
              <w:t xml:space="preserve">Capacidad instalada de generación (MW)</w:t>
            </w:r>
          </w:p>
        </w:tc>
      </w:tr>
      <w:tr>
        <w:tc>
          <w:tcPr/>
          <w:p>
            <w:pPr>
              <w:pStyle w:val="Compact"/>
            </w:pPr>
            <m:oMath>
              <m:sSub>
                <m:e>
                  <m:r>
                    <m:t>L</m:t>
                  </m:r>
                </m:e>
                <m:sub>
                  <m:r>
                    <m:t>t</m:t>
                  </m:r>
                </m:sub>
              </m:sSub>
            </m:oMath>
          </w:p>
        </w:tc>
        <w:tc>
          <w:tcPr/>
          <w:p>
            <w:pPr>
              <w:pStyle w:val="Compact"/>
            </w:pPr>
            <w:r>
              <w:t xml:space="preserve">Longitud o capacidad de líneas de transmisión (km o MVA)</w:t>
            </w:r>
          </w:p>
        </w:tc>
      </w:tr>
      <w:tr>
        <w:tc>
          <w:tcPr/>
          <w:p>
            <w:pPr>
              <w:pStyle w:val="Compact"/>
            </w:pPr>
            <m:oMath>
              <m:sSub>
                <m:e>
                  <m:r>
                    <m:t>I</m:t>
                  </m:r>
                </m:e>
                <m:sub>
                  <m:r>
                    <m:t>t</m:t>
                  </m:r>
                </m:sub>
              </m:sSub>
            </m:oMath>
          </w:p>
        </w:tc>
        <w:tc>
          <w:tcPr/>
          <w:p>
            <w:pPr>
              <w:pStyle w:val="Compact"/>
            </w:pPr>
            <w:r>
              <w:t xml:space="preserve">Inversión acumulada en infraestructura (USD)</w:t>
            </w:r>
          </w:p>
        </w:tc>
      </w:tr>
    </w:tbl>
    <w:p>
      <w:pPr>
        <w:pStyle w:val="BodyText"/>
      </w:pPr>
      <w:r>
        <w:rPr>
          <w:b/>
          <w:bCs/>
        </w:rPr>
        <w:t xml:space="preserve">Relación de cointegración esperada:</w:t>
      </w:r>
    </w:p>
    <w:p>
      <w:pPr>
        <w:pStyle w:val="BodyText"/>
      </w:pPr>
      <m:oMathPara>
        <m:oMathParaPr>
          <m:jc m:val="center"/>
        </m:oMathParaPr>
        <m:oMath>
          <m:sSup>
            <m:e>
              <m:r>
                <m:t>β</m:t>
              </m:r>
            </m:e>
            <m:sup>
              <m:r>
                <m:rPr>
                  <m:sty m:val="p"/>
                </m:rPr>
                <m:t>′</m:t>
              </m:r>
            </m:sup>
          </m:sSup>
          <m:r>
            <m:rPr>
              <m:sty m:val="p"/>
            </m:rPr>
            <m:t>[</m:t>
          </m:r>
          <m:sSub>
            <m:e>
              <m:r>
                <m:t>D</m:t>
              </m:r>
            </m:e>
            <m:sub>
              <m:r>
                <m:t>t</m:t>
              </m:r>
            </m:sub>
          </m:sSub>
          <m:r>
            <m:rPr>
              <m:sty m:val="p"/>
            </m:rPr>
            <m:t>,</m:t>
          </m:r>
          <m:r>
            <m:t> </m:t>
          </m:r>
          <m:sSub>
            <m:e>
              <m:r>
                <m:t>G</m:t>
              </m:r>
            </m:e>
            <m:sub>
              <m:r>
                <m:t>t</m:t>
              </m:r>
            </m:sub>
          </m:sSub>
          <m:r>
            <m:rPr>
              <m:sty m:val="p"/>
            </m:rPr>
            <m:t>,</m:t>
          </m:r>
          <m:r>
            <m:t> </m:t>
          </m:r>
          <m:sSub>
            <m:e>
              <m:r>
                <m:t>L</m:t>
              </m:r>
            </m:e>
            <m:sub>
              <m:r>
                <m:t>t</m:t>
              </m:r>
            </m:sub>
          </m:sSub>
          <m:r>
            <m:rPr>
              <m:sty m:val="p"/>
            </m:rPr>
            <m:t>,</m:t>
          </m:r>
          <m:r>
            <m:t> </m:t>
          </m:r>
          <m:sSub>
            <m:e>
              <m:r>
                <m:t>I</m:t>
              </m:r>
            </m:e>
            <m:sub>
              <m:r>
                <m:t>t</m:t>
              </m:r>
            </m:sub>
          </m:sSub>
          <m:sSup>
            <m:e>
              <m:r>
                <m:rPr>
                  <m:sty m:val="p"/>
                </m:rPr>
                <m:t>]</m:t>
              </m:r>
            </m:e>
            <m:sup>
              <m:r>
                <m:rPr>
                  <m:sty m:val="p"/>
                </m:rPr>
                <m:t>′</m:t>
              </m:r>
            </m:sup>
          </m:sSup>
          <m:r>
            <m:rPr>
              <m:sty m:val="p"/>
            </m:rPr>
            <m:t>∼</m:t>
          </m:r>
          <m:r>
            <m:t>I</m:t>
          </m:r>
          <m:r>
            <m:rPr>
              <m:sty m:val="p"/>
            </m:rPr>
            <m:t>(</m:t>
          </m:r>
          <m:r>
            <m:t>0</m:t>
          </m:r>
          <m:r>
            <m:rPr>
              <m:sty m:val="p"/>
            </m:rPr>
            <m:t>)</m:t>
          </m:r>
        </m:oMath>
      </m:oMathPara>
    </w:p>
    <w:p>
      <w:pPr>
        <w:pStyle w:val="FirstParagraph"/>
      </w:pPr>
      <w:r>
        <w:t xml:space="preserve">Por ejemplo:</w:t>
      </w:r>
      <w:r>
        <w:t xml:space="preserve"> </w:t>
      </w:r>
      <m:oMath>
        <m:sSub>
          <m:e>
            <m:r>
              <m:t>G</m:t>
            </m:r>
          </m:e>
          <m:sub>
            <m:r>
              <m:t>t</m:t>
            </m:r>
          </m:sub>
        </m:sSub>
        <m:r>
          <m:rPr>
            <m:sty m:val="p"/>
          </m:rPr>
          <m:t>−</m:t>
        </m:r>
        <m:r>
          <m:t>α</m:t>
        </m:r>
        <m:sSub>
          <m:e>
            <m:r>
              <m:t>D</m:t>
            </m:r>
          </m:e>
          <m:sub>
            <m:r>
              <m:t>t</m:t>
            </m:r>
          </m:sub>
        </m:sSub>
        <m:r>
          <m:rPr>
            <m:sty m:val="p"/>
          </m:rPr>
          <m:t>−</m:t>
        </m:r>
        <m:r>
          <m:t>γ</m:t>
        </m:r>
        <m:sSub>
          <m:e>
            <m:r>
              <m:t>L</m:t>
            </m:r>
          </m:e>
          <m:sub>
            <m:r>
              <m:t>t</m:t>
            </m:r>
          </m:sub>
        </m:sSub>
        <m:r>
          <m:rPr>
            <m:sty m:val="p"/>
          </m:rPr>
          <m:t>∼</m:t>
        </m:r>
        <m:r>
          <m:t>I</m:t>
        </m:r>
        <m:r>
          <m:rPr>
            <m:sty m:val="p"/>
          </m:rPr>
          <m:t>(</m:t>
        </m:r>
        <m:r>
          <m:t>0</m:t>
        </m:r>
        <m:r>
          <m:rPr>
            <m:sty m:val="p"/>
          </m:rPr>
          <m:t>)</m:t>
        </m:r>
      </m:oMath>
      <w:r>
        <w:t xml:space="preserve">, expresando que la capacidad de generación y transmisión debe crecer de forma coherente con la demanda para mantener el equilibrio oferta-demanda.</w:t>
      </w:r>
    </w:p>
    <w:p>
      <w:pPr>
        <w:pStyle w:val="BodyText"/>
      </w:pPr>
      <w:r>
        <w:rPr>
          <w:b/>
          <w:bCs/>
        </w:rPr>
        <w:t xml:space="preserve">Utilidad para la planificación:</w:t>
      </w:r>
    </w:p>
    <w:p>
      <w:pPr>
        <w:pStyle w:val="Compact"/>
        <w:numPr>
          <w:ilvl w:val="0"/>
          <w:numId w:val="1002"/>
        </w:numPr>
      </w:pPr>
      <w:r>
        <w:rPr>
          <w:b/>
          <w:bCs/>
        </w:rPr>
        <w:t xml:space="preserve">Proyección de largo plazo:</w:t>
      </w:r>
      <w:r>
        <w:t xml:space="preserve"> </w:t>
      </w:r>
      <w:r>
        <w:t xml:space="preserve">El VECM genera pronósticos que respetan la relación de equilibrio, evitando escenarios donde la generación crece indefinidamente sin respaldo en transmisión.</w:t>
      </w:r>
    </w:p>
    <w:p>
      <w:pPr>
        <w:pStyle w:val="Compact"/>
        <w:numPr>
          <w:ilvl w:val="0"/>
          <w:numId w:val="1002"/>
        </w:numPr>
      </w:pPr>
      <w:r>
        <w:rPr>
          <w:b/>
          <w:bCs/>
        </w:rPr>
        <w:t xml:space="preserve">Detección de sub-inversión:</w:t>
      </w:r>
      <w:r>
        <w:t xml:space="preserve"> </w:t>
      </w:r>
      <w:r>
        <w:t xml:space="preserve">Si</w:t>
      </w:r>
      <w:r>
        <w:t xml:space="preserve"> </w:t>
      </w:r>
      <m:oMath>
        <m:sSup>
          <m:e>
            <m:r>
              <m:t>β</m:t>
            </m:r>
          </m:e>
          <m:sup>
            <m:r>
              <m:rPr>
                <m:sty m:val="p"/>
              </m:rPr>
              <m:t>′</m:t>
            </m:r>
          </m:sup>
        </m:sSup>
        <m:sSub>
          <m:e>
            <m:r>
              <m:t>X</m:t>
            </m:r>
          </m:e>
          <m:sub>
            <m:r>
              <m:t>t</m:t>
            </m:r>
          </m:sub>
        </m:sSub>
      </m:oMath>
      <w:r>
        <w:t xml:space="preserve"> </w:t>
      </w:r>
      <w:r>
        <w:t xml:space="preserve">se desvía persistentemente del equilibrio, indica necesidad de expansión de la red.</w:t>
      </w:r>
    </w:p>
    <w:p>
      <w:pPr>
        <w:pStyle w:val="Compact"/>
        <w:numPr>
          <w:ilvl w:val="0"/>
          <w:numId w:val="1002"/>
        </w:numPr>
      </w:pPr>
      <w:r>
        <w:rPr>
          <w:b/>
          <w:bCs/>
        </w:rPr>
        <w:t xml:space="preserve">Evaluación de escenarios:</w:t>
      </w:r>
      <w:r>
        <w:t xml:space="preserve"> </w:t>
      </w:r>
      <w:r>
        <w:t xml:space="preserve">Permite simular el impacto de políticas energéticas (transición renovable, electrificación) sobre el equilibrio generación-transmisión-demanda.</w:t>
      </w:r>
    </w:p>
    <w:p>
      <w:pPr>
        <w:pStyle w:val="FirstParagraph"/>
      </w:pPr>
      <w:r>
        <w:t xml:space="preserve">En plataformas como</w:t>
      </w:r>
      <w:r>
        <w:t xml:space="preserve"> </w:t>
      </w:r>
      <w:r>
        <w:rPr>
          <w:b/>
          <w:bCs/>
        </w:rPr>
        <w:t xml:space="preserve">FactoryTalk Analytics</w:t>
      </w:r>
      <w:r>
        <w:t xml:space="preserve"> </w:t>
      </w:r>
      <w:r>
        <w:t xml:space="preserve">e</w:t>
      </w:r>
      <w:r>
        <w:t xml:space="preserve"> </w:t>
      </w:r>
      <w:r>
        <w:rPr>
          <w:b/>
          <w:bCs/>
        </w:rPr>
        <w:t xml:space="preserve">InnovationSuite</w:t>
      </w:r>
      <w:r>
        <w:t xml:space="preserve">, los modelos VECM/cointegración se emplean para análisis de tendencias de activos y planificación de capacidad — este es un algoritmo con</w:t>
      </w:r>
      <w:r>
        <w:t xml:space="preserve"> </w:t>
      </w:r>
      <w:r>
        <w:rPr>
          <w:b/>
          <w:bCs/>
        </w:rPr>
        <w:t xml:space="preserve">alto valor industrial</w:t>
      </w:r>
      <w:r>
        <w:t xml:space="preserve">.</w:t>
      </w:r>
    </w:p>
    <w:bookmarkEnd w:id="25"/>
    <w:bookmarkStart w:id="26" w:name="X874f40d6e25d2e0a78436c105f058e15f53ba36"/>
    <w:p>
      <w:pPr>
        <w:pStyle w:val="Heading4"/>
      </w:pPr>
      <w:r>
        <w:t xml:space="preserve">c) Pérdida de cointegración en monitoreo de frecuencia entre nodos distantes</w:t>
      </w:r>
    </w:p>
    <w:p>
      <w:pPr>
        <w:pStyle w:val="FirstParagraph"/>
      </w:pPr>
      <w:r>
        <w:t xml:space="preserve">En una red interconectada, las frecuencias de dos nodos distantes</w:t>
      </w:r>
      <w:r>
        <w:t xml:space="preserve"> </w:t>
      </w:r>
      <m:oMath>
        <m:sSub>
          <m:e>
            <m:r>
              <m:t>f</m:t>
            </m:r>
          </m:e>
          <m:sub>
            <m:r>
              <m:t>A</m:t>
            </m:r>
            <m:r>
              <m:rPr>
                <m:sty m:val="p"/>
              </m:rPr>
              <m:t>,</m:t>
            </m:r>
            <m:r>
              <m:t>t</m:t>
            </m:r>
          </m:sub>
        </m:sSub>
      </m:oMath>
      <w:r>
        <w:t xml:space="preserve"> </w:t>
      </w:r>
      <w:r>
        <w:t xml:space="preserve">y</w:t>
      </w:r>
      <w:r>
        <w:t xml:space="preserve"> </w:t>
      </w:r>
      <m:oMath>
        <m:sSub>
          <m:e>
            <m:r>
              <m:t>f</m:t>
            </m:r>
          </m:e>
          <m:sub>
            <m:r>
              <m:t>B</m:t>
            </m:r>
            <m:r>
              <m:rPr>
                <m:sty m:val="p"/>
              </m:rPr>
              <m:t>,</m:t>
            </m:r>
            <m:r>
              <m:t>t</m:t>
            </m:r>
          </m:sub>
        </m:sSub>
      </m:oMath>
      <w:r>
        <w:t xml:space="preserve"> </w:t>
      </w:r>
      <w:r>
        <w:t xml:space="preserve">son individualmente</w:t>
      </w:r>
      <w:r>
        <w:t xml:space="preserve"> </w:t>
      </w:r>
      <m:oMath>
        <m:r>
          <m:t>I</m:t>
        </m:r>
        <m:r>
          <m:rPr>
            <m:sty m:val="p"/>
          </m:rPr>
          <m:t>(</m:t>
        </m:r>
        <m:r>
          <m:t>1</m:t>
        </m:r>
        <m:r>
          <m:rPr>
            <m:sty m:val="p"/>
          </m:rPr>
          <m:t>)</m:t>
        </m:r>
      </m:oMath>
      <w:r>
        <w:t xml:space="preserve"> </w:t>
      </w:r>
      <w:r>
        <w:t xml:space="preserve">(presentan deriva estocástica por desbalances locales), pero en condiciones normales de operación están</w:t>
      </w:r>
      <w:r>
        <w:t xml:space="preserve"> </w:t>
      </w:r>
      <w:r>
        <w:rPr>
          <w:b/>
          <w:bCs/>
        </w:rPr>
        <w:t xml:space="preserve">cointegradas</w:t>
      </w:r>
      <w:r>
        <w:t xml:space="preserve">:</w:t>
      </w:r>
    </w:p>
    <w:p>
      <w:pPr>
        <w:pStyle w:val="BodyText"/>
      </w:pPr>
      <m:oMathPara>
        <m:oMathParaPr>
          <m:jc m:val="center"/>
        </m:oMathParaPr>
        <m:oMath>
          <m:sSub>
            <m:e>
              <m:r>
                <m:t>f</m:t>
              </m:r>
            </m:e>
            <m:sub>
              <m:r>
                <m:t>A</m:t>
              </m:r>
              <m:r>
                <m:rPr>
                  <m:sty m:val="p"/>
                </m:rPr>
                <m:t>,</m:t>
              </m:r>
              <m:r>
                <m:t>t</m:t>
              </m:r>
            </m:sub>
          </m:sSub>
          <m:r>
            <m:rPr>
              <m:sty m:val="p"/>
            </m:rPr>
            <m:t>−</m:t>
          </m:r>
          <m:sSub>
            <m:e>
              <m:r>
                <m:t>f</m:t>
              </m:r>
            </m:e>
            <m:sub>
              <m:r>
                <m:t>B</m:t>
              </m:r>
              <m:r>
                <m:rPr>
                  <m:sty m:val="p"/>
                </m:rPr>
                <m:t>,</m:t>
              </m:r>
              <m:r>
                <m:t>t</m:t>
              </m:r>
            </m:sub>
          </m:sSub>
          <m:r>
            <m:rPr>
              <m:sty m:val="p"/>
            </m:rPr>
            <m:t>∼</m:t>
          </m:r>
          <m:r>
            <m:t>I</m:t>
          </m:r>
          <m:r>
            <m:rPr>
              <m:sty m:val="p"/>
            </m:rPr>
            <m:t>(</m:t>
          </m:r>
          <m:r>
            <m:t>0</m:t>
          </m:r>
          <m:r>
            <m:rPr>
              <m:sty m:val="p"/>
            </m:rPr>
            <m:t>)</m:t>
          </m:r>
        </m:oMath>
      </m:oMathPara>
    </w:p>
    <w:p>
      <w:pPr>
        <w:pStyle w:val="FirstParagraph"/>
      </w:pPr>
      <w:r>
        <w:t xml:space="preserve">Esta relación refleja el acoplamiento eléctrico del sistema interconectado: ambos nodos comparten la misma dinámica de frecuencia del sistema síncrono.</w:t>
      </w:r>
    </w:p>
    <w:p>
      <w:pPr>
        <w:pStyle w:val="BodyText"/>
      </w:pPr>
      <w:r>
        <w:rPr>
          <w:b/>
          <w:bCs/>
        </w:rPr>
        <w:t xml:space="preserve">Interpretación de la pérdida de cointegración:</w:t>
      </w:r>
    </w:p>
    <w:p>
      <w:pPr>
        <w:numPr>
          <w:ilvl w:val="0"/>
          <w:numId w:val="1003"/>
        </w:numPr>
      </w:pPr>
      <w:r>
        <w:rPr>
          <w:b/>
          <w:bCs/>
        </w:rPr>
        <w:t xml:space="preserve">Desacoplamiento físico o eléctrico:</w:t>
      </w:r>
      <w:r>
        <w:t xml:space="preserve"> </w:t>
      </w:r>
      <w:r>
        <w:t xml:space="preserve">Una falla en líneas de interconexión, apertura de seccionadores o isla operativa ha roto el equilibrio de frecuencia entre los nodos. El spread</w:t>
      </w:r>
      <w:r>
        <w:t xml:space="preserve"> </w:t>
      </w:r>
      <m:oMath>
        <m:sSub>
          <m:e>
            <m:r>
              <m:t>f</m:t>
            </m:r>
          </m:e>
          <m:sub>
            <m:r>
              <m:t>A</m:t>
            </m:r>
            <m:r>
              <m:rPr>
                <m:sty m:val="p"/>
              </m:rPr>
              <m:t>,</m:t>
            </m:r>
            <m:r>
              <m:t>t</m:t>
            </m:r>
          </m:sub>
        </m:sSub>
        <m:r>
          <m:rPr>
            <m:sty m:val="p"/>
          </m:rPr>
          <m:t>−</m:t>
        </m:r>
        <m:sSub>
          <m:e>
            <m:r>
              <m:t>f</m:t>
            </m:r>
          </m:e>
          <m:sub>
            <m:r>
              <m:t>B</m:t>
            </m:r>
            <m:r>
              <m:rPr>
                <m:sty m:val="p"/>
              </m:rPr>
              <m:t>,</m:t>
            </m:r>
            <m:r>
              <m:t>t</m:t>
            </m:r>
          </m:sub>
        </m:sSub>
      </m:oMath>
      <w:r>
        <w:t xml:space="preserve"> </w:t>
      </w:r>
      <w:r>
        <w:t xml:space="preserve">deja de ser estacionario y diverge.</w:t>
      </w:r>
    </w:p>
    <w:p>
      <w:pPr>
        <w:numPr>
          <w:ilvl w:val="0"/>
          <w:numId w:val="1003"/>
        </w:numPr>
      </w:pPr>
      <w:r>
        <w:rPr>
          <w:b/>
          <w:bCs/>
        </w:rPr>
        <w:t xml:space="preserve">Pérdida de sincronismo:</w:t>
      </w:r>
      <w:r>
        <w:t xml:space="preserve"> </w:t>
      </w:r>
      <w:r>
        <w:t xml:space="preserve">Los dos nodos operan como sistemas independientes con dinámicas de frecuencia descorrelacionadas, indicando posible</w:t>
      </w:r>
      <w:r>
        <w:t xml:space="preserve"> </w:t>
      </w:r>
      <w:r>
        <w:rPr>
          <w:b/>
          <w:bCs/>
        </w:rPr>
        <w:t xml:space="preserve">islamiento involuntario</w:t>
      </w:r>
      <w:r>
        <w:t xml:space="preserve"> </w:t>
      </w:r>
      <w:r>
        <w:t xml:space="preserve">o transición hacia operación en isla.</w:t>
      </w:r>
    </w:p>
    <w:p>
      <w:pPr>
        <w:numPr>
          <w:ilvl w:val="0"/>
          <w:numId w:val="1003"/>
        </w:numPr>
      </w:pPr>
      <w:r>
        <w:rPr>
          <w:b/>
          <w:bCs/>
        </w:rPr>
        <w:t xml:space="preserve">Alerta operativa crítica:</w:t>
      </w:r>
      <w:r>
        <w:t xml:space="preserve"> </w:t>
      </w:r>
      <w:r>
        <w:t xml:space="preserve">En un contexto SCADA (referente:</w:t>
      </w:r>
      <w:r>
        <w:t xml:space="preserve"> </w:t>
      </w:r>
      <w:r>
        <w:rPr>
          <w:b/>
          <w:bCs/>
        </w:rPr>
        <w:t xml:space="preserve">FactoryTalk View</w:t>
      </w:r>
      <w:r>
        <w:t xml:space="preserve">,</w:t>
      </w:r>
      <w:r>
        <w:t xml:space="preserve"> </w:t>
      </w:r>
      <w:r>
        <w:rPr>
          <w:b/>
          <w:bCs/>
        </w:rPr>
        <w:t xml:space="preserve">Ignition</w:t>
      </w:r>
      <w:r>
        <w:t xml:space="preserve">), la ruptura de cointegración entre frecuencias de nodos debe generar una</w:t>
      </w:r>
      <w:r>
        <w:t xml:space="preserve"> </w:t>
      </w:r>
      <w:r>
        <w:rPr>
          <w:b/>
          <w:bCs/>
        </w:rPr>
        <w:t xml:space="preserve">alarma de alta prioridad</w:t>
      </w:r>
      <w:r>
        <w:t xml:space="preserve">, ya que precede o acompaña eventos de inestabilidad grave (cascadas, blackouts parciales).</w:t>
      </w:r>
    </w:p>
    <w:p>
      <w:pPr>
        <w:numPr>
          <w:ilvl w:val="0"/>
          <w:numId w:val="1003"/>
        </w:numPr>
      </w:pPr>
      <w:r>
        <w:rPr>
          <w:b/>
          <w:bCs/>
        </w:rPr>
        <w:t xml:space="preserve">Acción correctiva:</w:t>
      </w:r>
      <w:r>
        <w:t xml:space="preserve"> </w:t>
      </w:r>
      <w:r>
        <w:t xml:space="preserve">El operador debe verificar el estado de las interconexiones, la generación local en cada área y activar esquemas de control de frecuencia load-shedding si el desbalance persiste.</w:t>
      </w:r>
    </w:p>
    <w:p>
      <w:r>
        <w:pict>
          <v:rect style="width:0;height:1.5pt" o:hralign="center" o:hrstd="t" o:hr="t"/>
        </w:pict>
      </w:r>
    </w:p>
    <w:bookmarkEnd w:id="26"/>
    <w:bookmarkEnd w:id="27"/>
    <w:bookmarkStart w:id="31" w:name="X8e04b4ec1bbf305c57b8540e4961ac421810c54"/>
    <w:p>
      <w:pPr>
        <w:pStyle w:val="Heading3"/>
      </w:pPr>
      <w:r>
        <w:t xml:space="preserve">Pregunta 3 (15 %) — Modelo Vectorial Autorregresivo (VAR)</w:t>
      </w:r>
    </w:p>
    <w:bookmarkStart w:id="28" w:name="a-ecuación-general-del-varp"/>
    <w:p>
      <w:pPr>
        <w:pStyle w:val="Heading4"/>
      </w:pPr>
      <w:r>
        <w:t xml:space="preserve">a) Ecuación general del VAR(</w:t>
      </w:r>
      <m:oMath>
        <m:r>
          <m:t>p</m:t>
        </m:r>
      </m:oMath>
      <w:r>
        <w:t xml:space="preserve">)</w:t>
      </w:r>
    </w:p>
    <w:p>
      <w:pPr>
        <w:pStyle w:val="FirstParagraph"/>
      </w:pPr>
      <w:r>
        <w:t xml:space="preserve">Para un vector</w:t>
      </w:r>
      <w:r>
        <w:t xml:space="preserve"> </w:t>
      </w:r>
      <m:oMath>
        <m:sSub>
          <m:e>
            <m:r>
              <m:t>Y</m:t>
            </m:r>
          </m:e>
          <m:sub>
            <m:r>
              <m:t>t</m:t>
            </m:r>
          </m:sub>
        </m:sSub>
      </m:oMath>
      <w:r>
        <w:t xml:space="preserve"> </w:t>
      </w:r>
      <w:r>
        <w:t xml:space="preserve">de dimensión</w:t>
      </w:r>
      <w:r>
        <w:t xml:space="preserve"> </w:t>
      </w:r>
      <m:oMath>
        <m:r>
          <m:t>K</m:t>
        </m:r>
        <m:r>
          <m:rPr>
            <m:sty m:val="p"/>
          </m:rPr>
          <m:t>×</m:t>
        </m:r>
        <m:r>
          <m:t>1</m:t>
        </m:r>
      </m:oMath>
      <w:r>
        <w:t xml:space="preserve">:</w:t>
      </w:r>
    </w:p>
    <w:p>
      <w:pPr>
        <w:pStyle w:val="BodyText"/>
      </w:pPr>
      <m:oMathPara>
        <m:oMathParaPr>
          <m:jc m:val="center"/>
        </m:oMathParaPr>
        <m:oMath>
          <m:sSub>
            <m:e>
              <m:r>
                <m:t>Y</m:t>
              </m:r>
            </m:e>
            <m:sub>
              <m:r>
                <m:t>t</m:t>
              </m:r>
            </m:sub>
          </m:sSub>
          <m:r>
            <m:rPr>
              <m:sty m:val="p"/>
            </m:rPr>
            <m:t>=</m:t>
          </m:r>
          <m:r>
            <m:t>c</m:t>
          </m:r>
          <m:r>
            <m:rPr>
              <m:sty m:val="p"/>
            </m:rPr>
            <m:t>+</m:t>
          </m:r>
          <m:sSub>
            <m:e>
              <m:r>
                <m:t>A</m:t>
              </m:r>
            </m:e>
            <m:sub>
              <m:r>
                <m:t>1</m:t>
              </m:r>
            </m:sub>
          </m:sSub>
          <m:sSub>
            <m:e>
              <m:r>
                <m:t>Y</m:t>
              </m:r>
            </m:e>
            <m:sub>
              <m:r>
                <m:t>t</m:t>
              </m:r>
              <m:r>
                <m:rPr>
                  <m:sty m:val="p"/>
                </m:rPr>
                <m:t>−</m:t>
              </m:r>
              <m:r>
                <m:t>1</m:t>
              </m:r>
            </m:sub>
          </m:sSub>
          <m:r>
            <m:rPr>
              <m:sty m:val="p"/>
            </m:rPr>
            <m:t>+</m:t>
          </m:r>
          <m:sSub>
            <m:e>
              <m:r>
                <m:t>A</m:t>
              </m:r>
            </m:e>
            <m:sub>
              <m:r>
                <m:t>2</m:t>
              </m:r>
            </m:sub>
          </m:sSub>
          <m:sSub>
            <m:e>
              <m:r>
                <m:t>Y</m:t>
              </m:r>
            </m:e>
            <m:sub>
              <m:r>
                <m:t>t</m:t>
              </m:r>
              <m:r>
                <m:rPr>
                  <m:sty m:val="p"/>
                </m:rPr>
                <m:t>−</m:t>
              </m:r>
              <m:r>
                <m:t>2</m:t>
              </m:r>
            </m:sub>
          </m:sSub>
          <m:r>
            <m:rPr>
              <m:sty m:val="p"/>
            </m:rPr>
            <m:t>+</m:t>
          </m:r>
          <m:r>
            <m:rPr>
              <m:sty m:val="p"/>
            </m:rPr>
            <m:t>⋯</m:t>
          </m:r>
          <m:r>
            <m:rPr>
              <m:sty m:val="p"/>
            </m:rPr>
            <m:t>+</m:t>
          </m:r>
          <m:sSub>
            <m:e>
              <m:r>
                <m:t>A</m:t>
              </m:r>
            </m:e>
            <m:sub>
              <m:r>
                <m:t>p</m:t>
              </m:r>
            </m:sub>
          </m:sSub>
          <m:sSub>
            <m:e>
              <m:r>
                <m:t>Y</m:t>
              </m:r>
            </m:e>
            <m:sub>
              <m:r>
                <m:t>t</m:t>
              </m:r>
              <m:r>
                <m:rPr>
                  <m:sty m:val="p"/>
                </m:rPr>
                <m:t>−</m:t>
              </m:r>
              <m:r>
                <m:t>p</m:t>
              </m:r>
            </m:sub>
          </m:sSub>
          <m:r>
            <m:rPr>
              <m:sty m:val="p"/>
            </m:rPr>
            <m:t>+</m:t>
          </m:r>
          <m:sSub>
            <m:e>
              <m:r>
                <m:t>ε</m:t>
              </m:r>
            </m:e>
            <m:sub>
              <m:r>
                <m:t>t</m:t>
              </m:r>
            </m:sub>
          </m:sSub>
        </m:oMath>
      </m:oMathPara>
    </w:p>
    <w:p>
      <w:pPr>
        <w:pStyle w:val="FirstParagraph"/>
      </w:pPr>
      <w:r>
        <w:rPr>
          <w:b/>
          <w:bCs/>
        </w:rPr>
        <w:t xml:space="preserve">Definición de componentes: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Dimensión</w:t>
            </w:r>
          </w:p>
        </w:tc>
        <w:tc>
          <w:tcPr/>
          <w:p>
            <w:pPr>
              <w:pStyle w:val="Compact"/>
            </w:pPr>
            <w:r>
              <w:t xml:space="preserve">Descripción</w:t>
            </w:r>
          </w:p>
        </w:tc>
      </w:tr>
      <w:tr>
        <w:tc>
          <w:tcPr/>
          <w:p>
            <w:pPr>
              <w:pStyle w:val="Compact"/>
            </w:pPr>
            <m:oMath>
              <m:sSub>
                <m:e>
                  <m:r>
                    <m:t>Y</m:t>
                  </m:r>
                </m:e>
                <m:sub>
                  <m:r>
                    <m:t>t</m:t>
                  </m:r>
                </m:sub>
              </m:sSub>
            </m:oMath>
          </w:p>
        </w:tc>
        <w:tc>
          <w:tcPr/>
          <w:p>
            <w:pPr>
              <w:pStyle w:val="Compact"/>
            </w:pPr>
            <m:oMath>
              <m:r>
                <m:t>K</m:t>
              </m:r>
              <m:r>
                <m:rPr>
                  <m:sty m:val="p"/>
                </m:rPr>
                <m:t>×</m:t>
              </m:r>
              <m:r>
                <m:t>1</m:t>
              </m:r>
            </m:oMath>
          </w:p>
        </w:tc>
        <w:tc>
          <w:tcPr/>
          <w:p>
            <w:pPr>
              <w:pStyle w:val="Compact"/>
            </w:pPr>
            <w:r>
              <w:t xml:space="preserve">Vector de variables endógenas en el instante</w:t>
            </w:r>
            <w:r>
              <w:t xml:space="preserve"> </w:t>
            </w:r>
            <m:oMath>
              <m:r>
                <m:t>t</m:t>
              </m:r>
            </m:oMath>
            <w:r>
              <w:t xml:space="preserve">.</w:t>
            </w:r>
          </w:p>
        </w:tc>
      </w:tr>
      <w:tr>
        <w:tc>
          <w:tcPr/>
          <w:p>
            <w:pPr>
              <w:pStyle w:val="Compact"/>
            </w:pPr>
            <m:oMath>
              <m:r>
                <m:t>c</m:t>
              </m:r>
            </m:oMath>
          </w:p>
        </w:tc>
        <w:tc>
          <w:tcPr/>
          <w:p>
            <w:pPr>
              <w:pStyle w:val="Compact"/>
            </w:pPr>
            <m:oMath>
              <m:r>
                <m:t>K</m:t>
              </m:r>
              <m:r>
                <m:rPr>
                  <m:sty m:val="p"/>
                </m:rPr>
                <m:t>×</m:t>
              </m:r>
              <m:r>
                <m:t>1</m:t>
              </m:r>
            </m:oMath>
          </w:p>
        </w:tc>
        <w:tc>
          <w:tcPr/>
          <w:p>
            <w:pPr>
              <w:pStyle w:val="Compact"/>
            </w:pPr>
            <w:r>
              <w:t xml:space="preserve">Vector de constantes (interceptos de cada ecuación).</w:t>
            </w:r>
          </w:p>
        </w:tc>
      </w:tr>
      <w:tr>
        <w:tc>
          <w:tcPr/>
          <w:p>
            <w:pPr>
              <w:pStyle w:val="Compact"/>
            </w:pPr>
            <m:oMath>
              <m:sSub>
                <m:e>
                  <m:r>
                    <m:t>A</m:t>
                  </m:r>
                </m:e>
                <m:sub>
                  <m:r>
                    <m:t>i</m:t>
                  </m:r>
                </m:sub>
              </m:sSub>
            </m:oMath>
          </w:p>
        </w:tc>
        <w:tc>
          <w:tcPr/>
          <w:p>
            <w:pPr>
              <w:pStyle w:val="Compact"/>
            </w:pPr>
            <m:oMath>
              <m:r>
                <m:t>K</m:t>
              </m:r>
              <m:r>
                <m:rPr>
                  <m:sty m:val="p"/>
                </m:rPr>
                <m:t>×</m:t>
              </m:r>
              <m:r>
                <m:t>K</m:t>
              </m:r>
            </m:oMath>
          </w:p>
        </w:tc>
        <w:tc>
          <w:tcPr/>
          <w:p>
            <w:pPr>
              <w:pStyle w:val="Compact"/>
            </w:pPr>
            <w:r>
              <w:t xml:space="preserve">Matrices de coeficientes del rezago</w:t>
            </w:r>
            <w:r>
              <w:t xml:space="preserve"> </w:t>
            </w:r>
            <m:oMath>
              <m:r>
                <m:t>i</m:t>
              </m:r>
            </m:oMath>
            <w:r>
              <w:t xml:space="preserve">; el elemento</w:t>
            </w:r>
            <w:r>
              <w:t xml:space="preserve"> </w:t>
            </w:r>
            <m:oMath>
              <m:sSub>
                <m:e>
                  <m:r>
                    <m:t>A</m:t>
                  </m:r>
                </m:e>
                <m:sub>
                  <m:r>
                    <m:t>i</m:t>
                  </m:r>
                </m:sub>
              </m:sSub>
              <m:r>
                <m:rPr>
                  <m:sty m:val="p"/>
                </m:rPr>
                <m:t>(</m:t>
              </m:r>
              <m:r>
                <m:t>j</m:t>
              </m:r>
              <m:r>
                <m:rPr>
                  <m:sty m:val="p"/>
                </m:rPr>
                <m:t>,</m:t>
              </m:r>
              <m:r>
                <m:t>k</m:t>
              </m:r>
              <m:r>
                <m:rPr>
                  <m:sty m:val="p"/>
                </m:rPr>
                <m:t>)</m:t>
              </m:r>
            </m:oMath>
            <w:r>
              <w:t xml:space="preserve"> </w:t>
            </w:r>
            <w:r>
              <w:t xml:space="preserve">mide el efecto de</w:t>
            </w:r>
            <w:r>
              <w:t xml:space="preserve"> </w:t>
            </w:r>
            <m:oMath>
              <m:sSub>
                <m:e>
                  <m:r>
                    <m:t>Y</m:t>
                  </m:r>
                </m:e>
                <m:sub>
                  <m:r>
                    <m:t>k</m:t>
                  </m:r>
                  <m:r>
                    <m:rPr>
                      <m:sty m:val="p"/>
                    </m:rPr>
                    <m:t>,</m:t>
                  </m:r>
                  <m:r>
                    <m:t>t</m:t>
                  </m:r>
                  <m:r>
                    <m:rPr>
                      <m:sty m:val="p"/>
                    </m:rPr>
                    <m:t>−</m:t>
                  </m:r>
                  <m:r>
                    <m:t>i</m:t>
                  </m:r>
                </m:sub>
              </m:sSub>
            </m:oMath>
            <w:r>
              <w:t xml:space="preserve"> </w:t>
            </w:r>
            <w:r>
              <w:t xml:space="preserve">sobre</w:t>
            </w:r>
            <w:r>
              <w:t xml:space="preserve"> </w:t>
            </w:r>
            <m:oMath>
              <m:sSub>
                <m:e>
                  <m:r>
                    <m:t>Y</m:t>
                  </m:r>
                </m:e>
                <m:sub>
                  <m:r>
                    <m:t>j</m:t>
                  </m:r>
                  <m:r>
                    <m:rPr>
                      <m:sty m:val="p"/>
                    </m:rPr>
                    <m:t>,</m:t>
                  </m:r>
                  <m:r>
                    <m:t>t</m:t>
                  </m:r>
                </m:sub>
              </m:sSub>
            </m:oMath>
            <w:r>
              <w:t xml:space="preserve">.</w:t>
            </w:r>
          </w:p>
        </w:tc>
      </w:tr>
      <w:tr>
        <w:tc>
          <w:tcPr/>
          <w:p>
            <w:pPr>
              <w:pStyle w:val="Compact"/>
            </w:pPr>
            <m:oMath>
              <m:r>
                <m:t>p</m:t>
              </m:r>
            </m:oMath>
          </w:p>
        </w:tc>
        <w:tc>
          <w:tcPr/>
          <w:p>
            <w:pPr>
              <w:pStyle w:val="Compact"/>
            </w:pPr>
            <w:r>
              <w:t xml:space="preserve">escalar</w:t>
            </w:r>
          </w:p>
        </w:tc>
        <w:tc>
          <w:tcPr/>
          <w:p>
            <w:pPr>
              <w:pStyle w:val="Compact"/>
            </w:pPr>
            <w:r>
              <w:t xml:space="preserve">Orden del modelo (número máximo de rezagos).</w:t>
            </w:r>
          </w:p>
        </w:tc>
      </w:tr>
      <w:tr>
        <w:tc>
          <w:tcPr/>
          <w:p>
            <w:pPr>
              <w:pStyle w:val="Compact"/>
            </w:pPr>
            <m:oMath>
              <m:sSub>
                <m:e>
                  <m:r>
                    <m:t>ε</m:t>
                  </m:r>
                </m:e>
                <m:sub>
                  <m:r>
                    <m:t>t</m:t>
                  </m:r>
                </m:sub>
              </m:sSub>
            </m:oMath>
          </w:p>
        </w:tc>
        <w:tc>
          <w:tcPr/>
          <w:p>
            <w:pPr>
              <w:pStyle w:val="Compact"/>
            </w:pPr>
            <m:oMath>
              <m:r>
                <m:t>K</m:t>
              </m:r>
              <m:r>
                <m:rPr>
                  <m:sty m:val="p"/>
                </m:rPr>
                <m:t>×</m:t>
              </m:r>
              <m:r>
                <m:t>1</m:t>
              </m:r>
            </m:oMath>
          </w:p>
        </w:tc>
        <w:tc>
          <w:tcPr/>
          <w:p>
            <w:pPr>
              <w:pStyle w:val="Compact"/>
            </w:pPr>
            <w:r>
              <w:t xml:space="preserve">Vector de innovaciones (ruido blanco):</w:t>
            </w:r>
            <w:r>
              <w:t xml:space="preserve"> </w:t>
            </w:r>
            <m:oMath>
              <m:r>
                <m:rPr>
                  <m:scr m:val="double-struck"/>
                  <m:sty m:val="p"/>
                </m:rPr>
                <m:t>E</m:t>
              </m:r>
              <m:r>
                <m:rPr>
                  <m:sty m:val="p"/>
                </m:rPr>
                <m:t>[</m:t>
              </m:r>
              <m:sSub>
                <m:e>
                  <m:r>
                    <m:t>ε</m:t>
                  </m:r>
                </m:e>
                <m:sub>
                  <m:r>
                    <m:t>t</m:t>
                  </m:r>
                </m:sub>
              </m:sSub>
              <m:r>
                <m:rPr>
                  <m:sty m:val="p"/>
                </m:rPr>
                <m:t>]</m:t>
              </m:r>
              <m:r>
                <m:rPr>
                  <m:sty m:val="p"/>
                </m:rPr>
                <m:t>=</m:t>
              </m:r>
              <m:r>
                <m:t>0</m:t>
              </m:r>
            </m:oMath>
            <w:r>
              <w:t xml:space="preserve">,</w:t>
            </w:r>
            <w:r>
              <w:t xml:space="preserve"> </w:t>
            </w:r>
            <m:oMath>
              <m:r>
                <m:rPr>
                  <m:scr m:val="double-struck"/>
                  <m:sty m:val="p"/>
                </m:rPr>
                <m:t>E</m:t>
              </m:r>
              <m:r>
                <m:rPr>
                  <m:sty m:val="p"/>
                </m:rPr>
                <m:t>[</m:t>
              </m:r>
              <m:sSub>
                <m:e>
                  <m:r>
                    <m:t>ε</m:t>
                  </m:r>
                </m:e>
                <m:sub>
                  <m:r>
                    <m:t>t</m:t>
                  </m:r>
                </m:sub>
              </m:sSub>
              <m:sSub>
                <m:e>
                  <m:r>
                    <m:t>ε</m:t>
                  </m:r>
                </m:e>
                <m:sub>
                  <m:sSup>
                    <m:e>
                      <m:r>
                        <m:t>t</m:t>
                      </m:r>
                    </m:e>
                    <m:sup>
                      <m:r>
                        <m:rPr>
                          <m:sty m:val="p"/>
                        </m:rPr>
                        <m:t>′</m:t>
                      </m:r>
                    </m:sup>
                  </m:sSup>
                </m:sub>
              </m:sSub>
              <m:r>
                <m:rPr>
                  <m:sty m:val="p"/>
                </m:rPr>
                <m:t>]</m:t>
              </m:r>
              <m:r>
                <m:rPr>
                  <m:sty m:val="p"/>
                </m:rPr>
                <m:t>=</m:t>
              </m:r>
              <m:r>
                <m:rPr>
                  <m:sty m:val="p"/>
                </m:rPr>
                <m:t>Σ</m:t>
              </m:r>
            </m:oMath>
            <w:r>
              <w:t xml:space="preserve">,</w:t>
            </w:r>
            <w:r>
              <w:t xml:space="preserve"> </w:t>
            </w:r>
            <m:oMath>
              <m:r>
                <m:rPr>
                  <m:scr m:val="double-struck"/>
                  <m:sty m:val="p"/>
                </m:rPr>
                <m:t>E</m:t>
              </m:r>
              <m:r>
                <m:rPr>
                  <m:sty m:val="p"/>
                </m:rPr>
                <m:t>[</m:t>
              </m:r>
              <m:sSub>
                <m:e>
                  <m:r>
                    <m:t>ε</m:t>
                  </m:r>
                </m:e>
                <m:sub>
                  <m:r>
                    <m:t>t</m:t>
                  </m:r>
                </m:sub>
              </m:sSub>
              <m:sSub>
                <m:e>
                  <m:r>
                    <m:t>ε</m:t>
                  </m:r>
                </m:e>
                <m:sub>
                  <m:sSup>
                    <m:e>
                      <m:r>
                        <m:t>s</m:t>
                      </m:r>
                    </m:e>
                    <m:sup>
                      <m:r>
                        <m:rPr>
                          <m:sty m:val="p"/>
                        </m:rPr>
                        <m:t>′</m:t>
                      </m:r>
                    </m:sup>
                  </m:sSup>
                </m:sub>
              </m:sSub>
              <m:r>
                <m:rPr>
                  <m:sty m:val="p"/>
                </m:rPr>
                <m:t>]</m:t>
              </m:r>
              <m:r>
                <m:rPr>
                  <m:sty m:val="p"/>
                </m:rPr>
                <m:t>=</m:t>
              </m:r>
              <m:r>
                <m:t>0</m:t>
              </m:r>
            </m:oMath>
            <w:r>
              <w:t xml:space="preserve"> </w:t>
            </w:r>
            <w:r>
              <w:t xml:space="preserve">para</w:t>
            </w:r>
            <w:r>
              <w:t xml:space="preserve"> </w:t>
            </w:r>
            <m:oMath>
              <m:r>
                <m:t>t</m:t>
              </m:r>
              <m:r>
                <m:rPr>
                  <m:sty m:val="p"/>
                </m:rPr>
                <m:t>≠</m:t>
              </m:r>
              <m:r>
                <m:t>s</m:t>
              </m:r>
            </m:oMath>
            <w:r>
              <w:t xml:space="preserve">.</w:t>
            </w:r>
          </w:p>
        </w:tc>
      </w:tr>
    </w:tbl>
    <w:p>
      <w:pPr>
        <w:pStyle w:val="BodyText"/>
      </w:pPr>
      <w:r>
        <w:t xml:space="preserve">En forma expandida, la ecuación</w:t>
      </w:r>
      <w:r>
        <w:t xml:space="preserve"> </w:t>
      </w:r>
      <m:oMath>
        <m:r>
          <m:t>j</m:t>
        </m:r>
      </m:oMath>
      <w:r>
        <w:t xml:space="preserve">-ésima del sistema es:</w:t>
      </w:r>
    </w:p>
    <w:p>
      <w:pPr>
        <w:pStyle w:val="BodyText"/>
      </w:pPr>
      <m:oMathPara>
        <m:oMathParaPr>
          <m:jc m:val="center"/>
        </m:oMathParaPr>
        <m:oMath>
          <m:sSub>
            <m:e>
              <m:r>
                <m:t>Y</m:t>
              </m:r>
            </m:e>
            <m:sub>
              <m:r>
                <m:t>j</m:t>
              </m:r>
              <m:r>
                <m:rPr>
                  <m:sty m:val="p"/>
                </m:rPr>
                <m:t>,</m:t>
              </m:r>
              <m:r>
                <m:t>t</m:t>
              </m:r>
            </m:sub>
          </m:sSub>
          <m:r>
            <m:rPr>
              <m:sty m:val="p"/>
            </m:rPr>
            <m:t>=</m:t>
          </m:r>
          <m:sSub>
            <m:e>
              <m:r>
                <m:t>c</m:t>
              </m:r>
            </m:e>
            <m:sub>
              <m:r>
                <m:t>j</m:t>
              </m:r>
            </m:sub>
          </m:sSub>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k</m:t>
                  </m:r>
                  <m:r>
                    <m:rPr>
                      <m:sty m:val="p"/>
                    </m:rPr>
                    <m:t>=</m:t>
                  </m:r>
                  <m:r>
                    <m:t>1</m:t>
                  </m:r>
                </m:sub>
                <m:sup>
                  <m:r>
                    <m:t>K</m:t>
                  </m:r>
                </m:sup>
                <m:e>
                  <m:sSub>
                    <m:e>
                      <m:r>
                        <m:t>A</m:t>
                      </m:r>
                    </m:e>
                    <m:sub>
                      <m:r>
                        <m:t>i</m:t>
                      </m:r>
                    </m:sub>
                  </m:sSub>
                </m:e>
              </m:nary>
            </m:e>
          </m:nary>
          <m:r>
            <m:rPr>
              <m:sty m:val="p"/>
            </m:rPr>
            <m:t>(</m:t>
          </m:r>
          <m:r>
            <m:t>j</m:t>
          </m:r>
          <m:r>
            <m:rPr>
              <m:sty m:val="p"/>
            </m:rPr>
            <m:t>,</m:t>
          </m:r>
          <m:r>
            <m:t>k</m:t>
          </m:r>
          <m:r>
            <m:rPr>
              <m:sty m:val="p"/>
            </m:rPr>
            <m:t>)</m:t>
          </m:r>
          <m:r>
            <m:rPr>
              <m:sty m:val="p"/>
            </m:rPr>
            <m:t>⋅</m:t>
          </m:r>
          <m:sSub>
            <m:e>
              <m:r>
                <m:t>Y</m:t>
              </m:r>
            </m:e>
            <m:sub>
              <m:r>
                <m:t>k</m:t>
              </m:r>
              <m:r>
                <m:rPr>
                  <m:sty m:val="p"/>
                </m:rPr>
                <m:t>,</m:t>
              </m:r>
              <m:r>
                <m:t>t</m:t>
              </m:r>
              <m:r>
                <m:rPr>
                  <m:sty m:val="p"/>
                </m:rPr>
                <m:t>−</m:t>
              </m:r>
              <m:r>
                <m:t>i</m:t>
              </m:r>
            </m:sub>
          </m:sSub>
          <m:r>
            <m:rPr>
              <m:sty m:val="p"/>
            </m:rPr>
            <m:t>+</m:t>
          </m:r>
          <m:sSub>
            <m:e>
              <m:r>
                <m:t>ε</m:t>
              </m:r>
            </m:e>
            <m:sub>
              <m:r>
                <m:t>j</m:t>
              </m:r>
              <m:r>
                <m:rPr>
                  <m:sty m:val="p"/>
                </m:rPr>
                <m:t>,</m:t>
              </m:r>
              <m:r>
                <m:t>t</m:t>
              </m:r>
            </m:sub>
          </m:sSub>
        </m:oMath>
      </m:oMathPara>
    </w:p>
    <w:bookmarkEnd w:id="28"/>
    <w:bookmarkStart w:id="29" w:name="b-var1-para-temperatura-presión-y-caudal"/>
    <w:p>
      <w:pPr>
        <w:pStyle w:val="Heading4"/>
      </w:pPr>
      <w:r>
        <w:t xml:space="preserve">b) VAR(1) para Temperatura, Presión y Caudal</w:t>
      </w:r>
    </w:p>
    <w:p>
      <w:pPr>
        <w:pStyle w:val="FirstParagraph"/>
      </w:pPr>
      <w:r>
        <w:t xml:space="preserve">Con</w:t>
      </w:r>
      <w:r>
        <w:t xml:space="preserve"> </w:t>
      </w:r>
      <m:oMath>
        <m:sSub>
          <m:e>
            <m:r>
              <m:t>Y</m:t>
            </m:r>
          </m:e>
          <m:sub>
            <m:r>
              <m:t>t</m:t>
            </m:r>
          </m:sub>
        </m:sSub>
        <m:r>
          <m:rPr>
            <m:sty m:val="p"/>
          </m:rPr>
          <m:t>=</m:t>
        </m:r>
        <m:r>
          <m:rPr>
            <m:sty m:val="p"/>
          </m:rPr>
          <m:t>[</m:t>
        </m:r>
        <m:sSub>
          <m:e>
            <m:r>
              <m:t>T</m:t>
            </m:r>
          </m:e>
          <m:sub>
            <m:r>
              <m:t>t</m:t>
            </m:r>
          </m:sub>
        </m:sSub>
        <m:r>
          <m:rPr>
            <m:sty m:val="p"/>
          </m:rPr>
          <m:t>,</m:t>
        </m:r>
        <m:r>
          <m:t> </m:t>
        </m:r>
        <m:sSub>
          <m:e>
            <m:r>
              <m:t>P</m:t>
            </m:r>
          </m:e>
          <m:sub>
            <m:r>
              <m:t>t</m:t>
            </m:r>
          </m:sub>
        </m:sSub>
        <m:r>
          <m:rPr>
            <m:sty m:val="p"/>
          </m:rPr>
          <m:t>,</m:t>
        </m:r>
        <m:r>
          <m:t> </m:t>
        </m:r>
        <m:sSub>
          <m:e>
            <m:r>
              <m:t>C</m:t>
            </m:r>
          </m:e>
          <m:sub>
            <m:r>
              <m:t>t</m:t>
            </m:r>
          </m:sub>
        </m:sSub>
        <m:sSup>
          <m:e>
            <m:r>
              <m:rPr>
                <m:sty m:val="p"/>
              </m:rPr>
              <m:t>]</m:t>
            </m:r>
          </m:e>
          <m:sup>
            <m:r>
              <m:rPr>
                <m:sty m:val="p"/>
              </m:rPr>
              <m:t>′</m:t>
            </m:r>
          </m:sup>
        </m:sSup>
      </m:oMath>
      <w:r>
        <w:t xml:space="preserve"> </w:t>
      </w:r>
      <w:r>
        <w:t xml:space="preserve">y</w:t>
      </w:r>
      <w:r>
        <w:t xml:space="preserve"> </w:t>
      </w:r>
      <m:oMath>
        <m:r>
          <m:t>p</m:t>
        </m:r>
        <m:r>
          <m:rPr>
            <m:sty m:val="p"/>
          </m:rPr>
          <m:t>=</m:t>
        </m:r>
        <m:r>
          <m:t>1</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T</m:t>
                        </m:r>
                      </m:e>
                      <m:sub>
                        <m:r>
                          <m:t>t</m:t>
                        </m:r>
                      </m:sub>
                    </m:sSub>
                  </m:e>
                </m:mr>
                <m:mr>
                  <m:e>
                    <m:sSub>
                      <m:e>
                        <m:r>
                          <m:t>P</m:t>
                        </m:r>
                      </m:e>
                      <m:sub>
                        <m:r>
                          <m:t>t</m:t>
                        </m:r>
                      </m:sub>
                    </m:sSub>
                  </m:e>
                </m:mr>
                <m:mr>
                  <m:e>
                    <m:sSub>
                      <m:e>
                        <m:r>
                          <m:t>C</m:t>
                        </m:r>
                      </m:e>
                      <m:sub>
                        <m:r>
                          <m:t>t</m:t>
                        </m:r>
                      </m:sub>
                    </m:sSub>
                  </m:e>
                </m:mr>
              </m:m>
            </m:e>
          </m:d>
          <m:r>
            <m:rPr>
              <m:sty m:val="p"/>
            </m:rPr>
            <m:t>=</m:t>
          </m:r>
          <m:d>
            <m:dPr>
              <m:begChr m:val="["/>
              <m:sepChr m:val=""/>
              <m:endChr m:val="]"/>
              <m:grow/>
            </m:dPr>
            <m:e>
              <m:m>
                <m:mPr>
                  <m:baseJc m:val="center"/>
                  <m:plcHide m:val="on"/>
                  <m:mcs>
                    <m:mc>
                      <m:mcPr>
                        <m:mcJc m:val="center"/>
                        <m:count m:val="1"/>
                      </m:mcPr>
                    </m:mc>
                  </m:mcs>
                </m:mPr>
                <m:mr>
                  <m:e>
                    <m:sSub>
                      <m:e>
                        <m:r>
                          <m:t>c</m:t>
                        </m:r>
                      </m:e>
                      <m:sub>
                        <m:r>
                          <m:t>1</m:t>
                        </m:r>
                      </m:sub>
                    </m:sSub>
                  </m:e>
                </m:mr>
                <m:mr>
                  <m:e>
                    <m:sSub>
                      <m:e>
                        <m:r>
                          <m:t>c</m:t>
                        </m:r>
                      </m:e>
                      <m:sub>
                        <m:r>
                          <m:t>2</m:t>
                        </m:r>
                      </m:sub>
                    </m:sSub>
                  </m:e>
                </m:mr>
                <m:mr>
                  <m:e>
                    <m:sSub>
                      <m:e>
                        <m:r>
                          <m:t>c</m:t>
                        </m:r>
                      </m:e>
                      <m:sub>
                        <m:r>
                          <m:t>3</m:t>
                        </m:r>
                      </m:sub>
                    </m:sSub>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sSub>
                      <m:e>
                        <m:r>
                          <m:t>a</m:t>
                        </m:r>
                      </m:e>
                      <m:sub>
                        <m:r>
                          <m:t>13</m:t>
                        </m:r>
                      </m:sub>
                    </m:sSub>
                  </m:e>
                </m:mr>
                <m:mr>
                  <m:e>
                    <m:sSub>
                      <m:e>
                        <m:r>
                          <m:t>a</m:t>
                        </m:r>
                      </m:e>
                      <m:sub>
                        <m:r>
                          <m:t>21</m:t>
                        </m:r>
                      </m:sub>
                    </m:sSub>
                  </m:e>
                  <m:e>
                    <m:sSub>
                      <m:e>
                        <m:r>
                          <m:t>a</m:t>
                        </m:r>
                      </m:e>
                      <m:sub>
                        <m:r>
                          <m:t>22</m:t>
                        </m:r>
                      </m:sub>
                    </m:sSub>
                  </m:e>
                  <m:e>
                    <m:sSub>
                      <m:e>
                        <m:r>
                          <m:t>a</m:t>
                        </m:r>
                      </m:e>
                      <m:sub>
                        <m:r>
                          <m:t>23</m:t>
                        </m:r>
                      </m:sub>
                    </m:sSub>
                  </m:e>
                </m:mr>
                <m:mr>
                  <m:e>
                    <m:sSub>
                      <m:e>
                        <m:r>
                          <m:t>a</m:t>
                        </m:r>
                      </m:e>
                      <m:sub>
                        <m:r>
                          <m:t>31</m:t>
                        </m:r>
                      </m:sub>
                    </m:sSub>
                  </m:e>
                  <m:e>
                    <m:sSub>
                      <m:e>
                        <m:r>
                          <m:t>a</m:t>
                        </m:r>
                      </m:e>
                      <m:sub>
                        <m:r>
                          <m:t>32</m:t>
                        </m:r>
                      </m:sub>
                    </m:sSub>
                  </m:e>
                  <m:e>
                    <m:sSub>
                      <m:e>
                        <m:r>
                          <m:t>a</m:t>
                        </m:r>
                      </m:e>
                      <m:sub>
                        <m:r>
                          <m:t>33</m:t>
                        </m:r>
                      </m:sub>
                    </m:sSub>
                  </m:e>
                </m:mr>
              </m:m>
            </m:e>
          </m:d>
          <m:d>
            <m:dPr>
              <m:begChr m:val="["/>
              <m:sepChr m:val=""/>
              <m:endChr m:val="]"/>
              <m:grow/>
            </m:dPr>
            <m:e>
              <m:m>
                <m:mPr>
                  <m:baseJc m:val="center"/>
                  <m:plcHide m:val="on"/>
                  <m:mcs>
                    <m:mc>
                      <m:mcPr>
                        <m:mcJc m:val="center"/>
                        <m:count m:val="1"/>
                      </m:mcPr>
                    </m:mc>
                  </m:mcs>
                </m:mPr>
                <m:mr>
                  <m:e>
                    <m:sSub>
                      <m:e>
                        <m:r>
                          <m:t>T</m:t>
                        </m:r>
                      </m:e>
                      <m:sub>
                        <m:r>
                          <m:t>t</m:t>
                        </m:r>
                        <m:r>
                          <m:rPr>
                            <m:sty m:val="p"/>
                          </m:rPr>
                          <m:t>−</m:t>
                        </m:r>
                        <m:r>
                          <m:t>1</m:t>
                        </m:r>
                      </m:sub>
                    </m:sSub>
                  </m:e>
                </m:mr>
                <m:mr>
                  <m:e>
                    <m:sSub>
                      <m:e>
                        <m:r>
                          <m:t>P</m:t>
                        </m:r>
                      </m:e>
                      <m:sub>
                        <m:r>
                          <m:t>t</m:t>
                        </m:r>
                        <m:r>
                          <m:rPr>
                            <m:sty m:val="p"/>
                          </m:rPr>
                          <m:t>−</m:t>
                        </m:r>
                        <m:r>
                          <m:t>1</m:t>
                        </m:r>
                      </m:sub>
                    </m:sSub>
                  </m:e>
                </m:mr>
                <m:mr>
                  <m:e>
                    <m:sSub>
                      <m:e>
                        <m:r>
                          <m:t>C</m:t>
                        </m:r>
                      </m:e>
                      <m:sub>
                        <m:r>
                          <m:t>t</m:t>
                        </m:r>
                        <m:r>
                          <m:rPr>
                            <m:sty m:val="p"/>
                          </m:rPr>
                          <m:t>−</m:t>
                        </m:r>
                        <m:r>
                          <m:t>1</m:t>
                        </m:r>
                      </m:sub>
                    </m:sSub>
                  </m:e>
                </m:mr>
              </m:m>
            </m:e>
          </m:d>
          <m:r>
            <m:rPr>
              <m:sty m:val="p"/>
            </m:rPr>
            <m:t>+</m:t>
          </m:r>
          <m:d>
            <m:dPr>
              <m:begChr m:val="["/>
              <m:sepChr m:val=""/>
              <m:endChr m:val="]"/>
              <m:grow/>
            </m:dPr>
            <m:e>
              <m:m>
                <m:mPr>
                  <m:baseJc m:val="center"/>
                  <m:plcHide m:val="on"/>
                  <m:mcs>
                    <m:mc>
                      <m:mcPr>
                        <m:mcJc m:val="center"/>
                        <m:count m:val="1"/>
                      </m:mcPr>
                    </m:mc>
                  </m:mcs>
                </m:mPr>
                <m:mr>
                  <m:e>
                    <m:sSub>
                      <m:e>
                        <m:r>
                          <m:t>ε</m:t>
                        </m:r>
                      </m:e>
                      <m:sub>
                        <m:r>
                          <m:t>1</m:t>
                        </m:r>
                        <m:r>
                          <m:t>t</m:t>
                        </m:r>
                      </m:sub>
                    </m:sSub>
                  </m:e>
                </m:mr>
                <m:mr>
                  <m:e>
                    <m:sSub>
                      <m:e>
                        <m:r>
                          <m:t>ε</m:t>
                        </m:r>
                      </m:e>
                      <m:sub>
                        <m:r>
                          <m:t>2</m:t>
                        </m:r>
                        <m:r>
                          <m:t>t</m:t>
                        </m:r>
                      </m:sub>
                    </m:sSub>
                  </m:e>
                </m:mr>
                <m:mr>
                  <m:e>
                    <m:sSub>
                      <m:e>
                        <m:r>
                          <m:t>ε</m:t>
                        </m:r>
                      </m:e>
                      <m:sub>
                        <m:r>
                          <m:t>3</m:t>
                        </m:r>
                        <m:r>
                          <m:t>t</m:t>
                        </m:r>
                      </m:sub>
                    </m:sSub>
                  </m:e>
                </m:mr>
              </m:m>
            </m:e>
          </m:d>
        </m:oMath>
      </m:oMathPara>
    </w:p>
    <w:p>
      <w:pPr>
        <w:pStyle w:val="FirstParagraph"/>
      </w:pPr>
      <w:r>
        <w:t xml:space="preserve">En forma escalar:</w:t>
      </w:r>
    </w:p>
    <w:p>
      <w:pPr>
        <w:pStyle w:val="BodyText"/>
      </w:pPr>
      <m:oMathPara>
        <m:oMathParaPr>
          <m:jc m:val="center"/>
        </m:oMathParaPr>
        <m:oMath>
          <m:sSub>
            <m:e>
              <m:r>
                <m:t>T</m:t>
              </m:r>
            </m:e>
            <m:sub>
              <m:r>
                <m:t>t</m:t>
              </m:r>
            </m:sub>
          </m:sSub>
          <m:r>
            <m:rPr>
              <m:sty m:val="p"/>
            </m:rPr>
            <m:t>=</m:t>
          </m:r>
          <m:sSub>
            <m:e>
              <m:r>
                <m:t>c</m:t>
              </m:r>
            </m:e>
            <m:sub>
              <m:r>
                <m:t>1</m:t>
              </m:r>
            </m:sub>
          </m:sSub>
          <m:r>
            <m:rPr>
              <m:sty m:val="p"/>
            </m:rPr>
            <m:t>+</m:t>
          </m:r>
          <m:sSub>
            <m:e>
              <m:r>
                <m:t>a</m:t>
              </m:r>
            </m:e>
            <m:sub>
              <m:r>
                <m:t>11</m:t>
              </m:r>
            </m:sub>
          </m:sSub>
          <m:sSub>
            <m:e>
              <m:r>
                <m:t>T</m:t>
              </m:r>
            </m:e>
            <m:sub>
              <m:r>
                <m:t>t</m:t>
              </m:r>
              <m:r>
                <m:rPr>
                  <m:sty m:val="p"/>
                </m:rPr>
                <m:t>−</m:t>
              </m:r>
              <m:r>
                <m:t>1</m:t>
              </m:r>
            </m:sub>
          </m:sSub>
          <m:r>
            <m:rPr>
              <m:sty m:val="p"/>
            </m:rPr>
            <m:t>+</m:t>
          </m:r>
          <m:sSub>
            <m:e>
              <m:r>
                <m:t>a</m:t>
              </m:r>
            </m:e>
            <m:sub>
              <m:r>
                <m:t>12</m:t>
              </m:r>
            </m:sub>
          </m:sSub>
          <m:sSub>
            <m:e>
              <m:r>
                <m:t>P</m:t>
              </m:r>
            </m:e>
            <m:sub>
              <m:r>
                <m:t>t</m:t>
              </m:r>
              <m:r>
                <m:rPr>
                  <m:sty m:val="p"/>
                </m:rPr>
                <m:t>−</m:t>
              </m:r>
              <m:r>
                <m:t>1</m:t>
              </m:r>
            </m:sub>
          </m:sSub>
          <m:r>
            <m:rPr>
              <m:sty m:val="p"/>
            </m:rPr>
            <m:t>+</m:t>
          </m:r>
          <m:sSub>
            <m:e>
              <m:r>
                <m:t>a</m:t>
              </m:r>
            </m:e>
            <m:sub>
              <m:r>
                <m:t>13</m:t>
              </m:r>
            </m:sub>
          </m:sSub>
          <m:sSub>
            <m:e>
              <m:r>
                <m:t>C</m:t>
              </m:r>
            </m:e>
            <m:sub>
              <m:r>
                <m:t>t</m:t>
              </m:r>
              <m:r>
                <m:rPr>
                  <m:sty m:val="p"/>
                </m:rPr>
                <m:t>−</m:t>
              </m:r>
              <m:r>
                <m:t>1</m:t>
              </m:r>
            </m:sub>
          </m:sSub>
          <m:r>
            <m:rPr>
              <m:sty m:val="p"/>
            </m:rPr>
            <m:t>+</m:t>
          </m:r>
          <m:sSub>
            <m:e>
              <m:r>
                <m:t>ε</m:t>
              </m:r>
            </m:e>
            <m:sub>
              <m:r>
                <m:t>1</m:t>
              </m:r>
              <m:r>
                <m:t>t</m:t>
              </m:r>
            </m:sub>
          </m:sSub>
        </m:oMath>
      </m:oMathPara>
    </w:p>
    <w:p>
      <w:pPr>
        <w:pStyle w:val="FirstParagraph"/>
      </w:pPr>
      <m:oMathPara>
        <m:oMathParaPr>
          <m:jc m:val="center"/>
        </m:oMathParaPr>
        <m:oMath>
          <m:sSub>
            <m:e>
              <m:r>
                <m:t>P</m:t>
              </m:r>
            </m:e>
            <m:sub>
              <m:r>
                <m:t>t</m:t>
              </m:r>
            </m:sub>
          </m:sSub>
          <m:r>
            <m:rPr>
              <m:sty m:val="p"/>
            </m:rPr>
            <m:t>=</m:t>
          </m:r>
          <m:sSub>
            <m:e>
              <m:r>
                <m:t>c</m:t>
              </m:r>
            </m:e>
            <m:sub>
              <m:r>
                <m:t>2</m:t>
              </m:r>
            </m:sub>
          </m:sSub>
          <m:r>
            <m:rPr>
              <m:sty m:val="p"/>
            </m:rPr>
            <m:t>+</m:t>
          </m:r>
          <m:sSub>
            <m:e>
              <m:r>
                <m:t>a</m:t>
              </m:r>
            </m:e>
            <m:sub>
              <m:r>
                <m:t>21</m:t>
              </m:r>
            </m:sub>
          </m:sSub>
          <m:sSub>
            <m:e>
              <m:r>
                <m:t>T</m:t>
              </m:r>
            </m:e>
            <m:sub>
              <m:r>
                <m:t>t</m:t>
              </m:r>
              <m:r>
                <m:rPr>
                  <m:sty m:val="p"/>
                </m:rPr>
                <m:t>−</m:t>
              </m:r>
              <m:r>
                <m:t>1</m:t>
              </m:r>
            </m:sub>
          </m:sSub>
          <m:r>
            <m:rPr>
              <m:sty m:val="p"/>
            </m:rPr>
            <m:t>+</m:t>
          </m:r>
          <m:sSub>
            <m:e>
              <m:r>
                <m:t>a</m:t>
              </m:r>
            </m:e>
            <m:sub>
              <m:r>
                <m:t>22</m:t>
              </m:r>
            </m:sub>
          </m:sSub>
          <m:sSub>
            <m:e>
              <m:r>
                <m:t>P</m:t>
              </m:r>
            </m:e>
            <m:sub>
              <m:r>
                <m:t>t</m:t>
              </m:r>
              <m:r>
                <m:rPr>
                  <m:sty m:val="p"/>
                </m:rPr>
                <m:t>−</m:t>
              </m:r>
              <m:r>
                <m:t>1</m:t>
              </m:r>
            </m:sub>
          </m:sSub>
          <m:r>
            <m:rPr>
              <m:sty m:val="p"/>
            </m:rPr>
            <m:t>+</m:t>
          </m:r>
          <m:sSub>
            <m:e>
              <m:r>
                <m:t>a</m:t>
              </m:r>
            </m:e>
            <m:sub>
              <m:r>
                <m:t>23</m:t>
              </m:r>
            </m:sub>
          </m:sSub>
          <m:sSub>
            <m:e>
              <m:r>
                <m:t>C</m:t>
              </m:r>
            </m:e>
            <m:sub>
              <m:r>
                <m:t>t</m:t>
              </m:r>
              <m:r>
                <m:rPr>
                  <m:sty m:val="p"/>
                </m:rPr>
                <m:t>−</m:t>
              </m:r>
              <m:r>
                <m:t>1</m:t>
              </m:r>
            </m:sub>
          </m:sSub>
          <m:r>
            <m:rPr>
              <m:sty m:val="p"/>
            </m:rPr>
            <m:t>+</m:t>
          </m:r>
          <m:sSub>
            <m:e>
              <m:r>
                <m:t>ε</m:t>
              </m:r>
            </m:e>
            <m:sub>
              <m:r>
                <m:t>2</m:t>
              </m:r>
              <m:r>
                <m:t>t</m:t>
              </m:r>
            </m:sub>
          </m:sSub>
        </m:oMath>
      </m:oMathPara>
    </w:p>
    <w:p>
      <w:pPr>
        <w:pStyle w:val="FirstParagraph"/>
      </w:pPr>
      <m:oMathPara>
        <m:oMathParaPr>
          <m:jc m:val="center"/>
        </m:oMathParaPr>
        <m:oMath>
          <m:sSub>
            <m:e>
              <m:r>
                <m:t>C</m:t>
              </m:r>
            </m:e>
            <m:sub>
              <m:r>
                <m:t>t</m:t>
              </m:r>
            </m:sub>
          </m:sSub>
          <m:r>
            <m:rPr>
              <m:sty m:val="p"/>
            </m:rPr>
            <m:t>=</m:t>
          </m:r>
          <m:sSub>
            <m:e>
              <m:r>
                <m:t>c</m:t>
              </m:r>
            </m:e>
            <m:sub>
              <m:r>
                <m:t>3</m:t>
              </m:r>
            </m:sub>
          </m:sSub>
          <m:r>
            <m:rPr>
              <m:sty m:val="p"/>
            </m:rPr>
            <m:t>+</m:t>
          </m:r>
          <m:sSub>
            <m:e>
              <m:r>
                <m:t>a</m:t>
              </m:r>
            </m:e>
            <m:sub>
              <m:r>
                <m:t>31</m:t>
              </m:r>
            </m:sub>
          </m:sSub>
          <m:sSub>
            <m:e>
              <m:r>
                <m:t>T</m:t>
              </m:r>
            </m:e>
            <m:sub>
              <m:r>
                <m:t>t</m:t>
              </m:r>
              <m:r>
                <m:rPr>
                  <m:sty m:val="p"/>
                </m:rPr>
                <m:t>−</m:t>
              </m:r>
              <m:r>
                <m:t>1</m:t>
              </m:r>
            </m:sub>
          </m:sSub>
          <m:r>
            <m:rPr>
              <m:sty m:val="p"/>
            </m:rPr>
            <m:t>+</m:t>
          </m:r>
          <m:sSub>
            <m:e>
              <m:r>
                <m:t>a</m:t>
              </m:r>
            </m:e>
            <m:sub>
              <m:r>
                <m:t>32</m:t>
              </m:r>
            </m:sub>
          </m:sSub>
          <m:sSub>
            <m:e>
              <m:r>
                <m:t>P</m:t>
              </m:r>
            </m:e>
            <m:sub>
              <m:r>
                <m:t>t</m:t>
              </m:r>
              <m:r>
                <m:rPr>
                  <m:sty m:val="p"/>
                </m:rPr>
                <m:t>−</m:t>
              </m:r>
              <m:r>
                <m:t>1</m:t>
              </m:r>
            </m:sub>
          </m:sSub>
          <m:r>
            <m:rPr>
              <m:sty m:val="p"/>
            </m:rPr>
            <m:t>+</m:t>
          </m:r>
          <m:sSub>
            <m:e>
              <m:r>
                <m:t>a</m:t>
              </m:r>
            </m:e>
            <m:sub>
              <m:r>
                <m:t>33</m:t>
              </m:r>
            </m:sub>
          </m:sSub>
          <m:sSub>
            <m:e>
              <m:r>
                <m:t>C</m:t>
              </m:r>
            </m:e>
            <m:sub>
              <m:r>
                <m:t>t</m:t>
              </m:r>
              <m:r>
                <m:rPr>
                  <m:sty m:val="p"/>
                </m:rPr>
                <m:t>−</m:t>
              </m:r>
              <m:r>
                <m:t>1</m:t>
              </m:r>
            </m:sub>
          </m:sSub>
          <m:r>
            <m:rPr>
              <m:sty m:val="p"/>
            </m:rPr>
            <m:t>+</m:t>
          </m:r>
          <m:sSub>
            <m:e>
              <m:r>
                <m:t>ε</m:t>
              </m:r>
            </m:e>
            <m:sub>
              <m:r>
                <m:t>3</m:t>
              </m:r>
              <m:r>
                <m:t>t</m:t>
              </m:r>
            </m:sub>
          </m:sSub>
        </m:oMath>
      </m:oMathPara>
    </w:p>
    <w:p>
      <w:pPr>
        <w:pStyle w:val="FirstParagraph"/>
      </w:pPr>
      <w:r>
        <w:rPr>
          <w:b/>
          <w:bCs/>
        </w:rPr>
        <w:t xml:space="preserve">Significado de</w:t>
      </w:r>
      <w:r>
        <w:rPr>
          <w:b/>
          <w:bCs/>
        </w:rPr>
        <w:t xml:space="preserve"> </w:t>
      </w:r>
      <m:oMath>
        <m:sSub>
          <m:e>
            <m:r>
              <m:t>A</m:t>
            </m:r>
          </m:e>
          <m:sub>
            <m:r>
              <m:t>1</m:t>
            </m:r>
          </m:sub>
        </m:sSub>
        <m:r>
          <m:rPr>
            <m:sty m:val="p"/>
          </m:rPr>
          <m:t>(</m:t>
        </m:r>
        <m:r>
          <m:t>2</m:t>
        </m:r>
        <m:r>
          <m:rPr>
            <m:sty m:val="p"/>
          </m:rPr>
          <m:t>,</m:t>
        </m:r>
        <m:r>
          <m:t>1</m:t>
        </m:r>
        <m:r>
          <m:rPr>
            <m:sty m:val="p"/>
          </m:rPr>
          <m:t>)</m:t>
        </m:r>
        <m:r>
          <m:rPr>
            <m:sty m:val="p"/>
          </m:rPr>
          <m:t>=</m:t>
        </m:r>
        <m:sSub>
          <m:e>
            <m:r>
              <m:t>a</m:t>
            </m:r>
          </m:e>
          <m:sub>
            <m:r>
              <m:t>21</m:t>
            </m:r>
          </m:sub>
        </m:sSub>
        <m:r>
          <m:rPr>
            <m:sty m:val="p"/>
          </m:rPr>
          <m:t>=</m:t>
        </m:r>
        <m:r>
          <m:t>0</m:t>
        </m:r>
      </m:oMath>
      <w:r>
        <w:rPr>
          <w:b/>
          <w:bCs/>
        </w:rPr>
        <w:t xml:space="preserve">:</w:t>
      </w:r>
    </w:p>
    <w:p>
      <w:pPr>
        <w:pStyle w:val="BodyText"/>
      </w:pPr>
      <w:r>
        <w:t xml:space="preserve">El coeficiente</w:t>
      </w:r>
      <w:r>
        <w:t xml:space="preserve"> </w:t>
      </w:r>
      <m:oMath>
        <m:sSub>
          <m:e>
            <m:r>
              <m:t>A</m:t>
            </m:r>
          </m:e>
          <m:sub>
            <m:r>
              <m:t>1</m:t>
            </m:r>
          </m:sub>
        </m:sSub>
        <m:r>
          <m:rPr>
            <m:sty m:val="p"/>
          </m:rPr>
          <m:t>(</m:t>
        </m:r>
        <m:r>
          <m:t>2</m:t>
        </m:r>
        <m:r>
          <m:rPr>
            <m:sty m:val="p"/>
          </m:rPr>
          <m:t>,</m:t>
        </m:r>
        <m:r>
          <m:t>1</m:t>
        </m:r>
        <m:r>
          <m:rPr>
            <m:sty m:val="p"/>
          </m:rPr>
          <m:t>)</m:t>
        </m:r>
      </m:oMath>
      <w:r>
        <w:t xml:space="preserve"> </w:t>
      </w:r>
      <w:r>
        <w:t xml:space="preserve">es el elemento fila 2, columna 1 de</w:t>
      </w:r>
      <w:r>
        <w:t xml:space="preserve"> </w:t>
      </w:r>
      <m:oMath>
        <m:sSub>
          <m:e>
            <m:r>
              <m:t>A</m:t>
            </m:r>
          </m:e>
          <m:sub>
            <m:r>
              <m:t>1</m:t>
            </m:r>
          </m:sub>
        </m:sSub>
      </m:oMath>
      <w:r>
        <w:t xml:space="preserve">, es decir, el efecto de</w:t>
      </w:r>
      <w:r>
        <w:t xml:space="preserve"> </w:t>
      </w:r>
      <m:oMath>
        <m:sSub>
          <m:e>
            <m:r>
              <m:t>T</m:t>
            </m:r>
          </m:e>
          <m:sub>
            <m:r>
              <m:t>t</m:t>
            </m:r>
            <m:r>
              <m:rPr>
                <m:sty m:val="p"/>
              </m:rPr>
              <m:t>−</m:t>
            </m:r>
            <m:r>
              <m:t>1</m:t>
            </m:r>
          </m:sub>
        </m:sSub>
      </m:oMath>
      <w:r>
        <w:t xml:space="preserve"> </w:t>
      </w:r>
      <w:r>
        <w:t xml:space="preserve">(temperatura rezagada) sobre</w:t>
      </w:r>
      <w:r>
        <w:t xml:space="preserve"> </w:t>
      </w:r>
      <m:oMath>
        <m:sSub>
          <m:e>
            <m:r>
              <m:t>P</m:t>
            </m:r>
          </m:e>
          <m:sub>
            <m:r>
              <m:t>t</m:t>
            </m:r>
          </m:sub>
        </m:sSub>
      </m:oMath>
      <w:r>
        <w:t xml:space="preserve"> </w:t>
      </w:r>
      <w:r>
        <w:t xml:space="preserve">(presión actual).</w:t>
      </w:r>
    </w:p>
    <w:p>
      <w:pPr>
        <w:pStyle w:val="BodyText"/>
      </w:pPr>
      <w:r>
        <w:t xml:space="preserve">Si</w:t>
      </w:r>
      <w:r>
        <w:t xml:space="preserve"> </w:t>
      </w:r>
      <m:oMath>
        <m:sSub>
          <m:e>
            <m:r>
              <m:t>a</m:t>
            </m:r>
          </m:e>
          <m:sub>
            <m:r>
              <m:t>21</m:t>
            </m:r>
          </m:sub>
        </m:sSub>
        <m:r>
          <m:rPr>
            <m:sty m:val="p"/>
          </m:rPr>
          <m:t>=</m:t>
        </m:r>
        <m:r>
          <m:t>0</m:t>
        </m:r>
      </m:oMath>
      <w:r>
        <w:t xml:space="preserve">, la ecuación de presión se reduce a:</w:t>
      </w:r>
    </w:p>
    <w:p>
      <w:pPr>
        <w:pStyle w:val="BodyText"/>
      </w:pPr>
      <m:oMathPara>
        <m:oMathParaPr>
          <m:jc m:val="center"/>
        </m:oMathParaPr>
        <m:oMath>
          <m:sSub>
            <m:e>
              <m:r>
                <m:t>P</m:t>
              </m:r>
            </m:e>
            <m:sub>
              <m:r>
                <m:t>t</m:t>
              </m:r>
            </m:sub>
          </m:sSub>
          <m:r>
            <m:rPr>
              <m:sty m:val="p"/>
            </m:rPr>
            <m:t>=</m:t>
          </m:r>
          <m:sSub>
            <m:e>
              <m:r>
                <m:t>c</m:t>
              </m:r>
            </m:e>
            <m:sub>
              <m:r>
                <m:t>2</m:t>
              </m:r>
            </m:sub>
          </m:sSub>
          <m:r>
            <m:rPr>
              <m:sty m:val="p"/>
            </m:rPr>
            <m:t>+</m:t>
          </m:r>
          <m:sSub>
            <m:e>
              <m:r>
                <m:t>a</m:t>
              </m:r>
            </m:e>
            <m:sub>
              <m:r>
                <m:t>22</m:t>
              </m:r>
            </m:sub>
          </m:sSub>
          <m:sSub>
            <m:e>
              <m:r>
                <m:t>P</m:t>
              </m:r>
            </m:e>
            <m:sub>
              <m:r>
                <m:t>t</m:t>
              </m:r>
              <m:r>
                <m:rPr>
                  <m:sty m:val="p"/>
                </m:rPr>
                <m:t>−</m:t>
              </m:r>
              <m:r>
                <m:t>1</m:t>
              </m:r>
            </m:sub>
          </m:sSub>
          <m:r>
            <m:rPr>
              <m:sty m:val="p"/>
            </m:rPr>
            <m:t>+</m:t>
          </m:r>
          <m:sSub>
            <m:e>
              <m:r>
                <m:t>a</m:t>
              </m:r>
            </m:e>
            <m:sub>
              <m:r>
                <m:t>23</m:t>
              </m:r>
            </m:sub>
          </m:sSub>
          <m:sSub>
            <m:e>
              <m:r>
                <m:t>C</m:t>
              </m:r>
            </m:e>
            <m:sub>
              <m:r>
                <m:t>t</m:t>
              </m:r>
              <m:r>
                <m:rPr>
                  <m:sty m:val="p"/>
                </m:rPr>
                <m:t>−</m:t>
              </m:r>
              <m:r>
                <m:t>1</m:t>
              </m:r>
            </m:sub>
          </m:sSub>
          <m:r>
            <m:rPr>
              <m:sty m:val="p"/>
            </m:rPr>
            <m:t>+</m:t>
          </m:r>
          <m:sSub>
            <m:e>
              <m:r>
                <m:t>ε</m:t>
              </m:r>
            </m:e>
            <m:sub>
              <m:r>
                <m:t>2</m:t>
              </m:r>
              <m:r>
                <m:t>t</m:t>
              </m:r>
            </m:sub>
          </m:sSub>
        </m:oMath>
      </m:oMathPara>
    </w:p>
    <w:p>
      <w:pPr>
        <w:pStyle w:val="FirstParagraph"/>
      </w:pPr>
      <w:r>
        <w:rPr>
          <w:b/>
          <w:bCs/>
        </w:rPr>
        <w:t xml:space="preserve">Interpretación industrial:</w:t>
      </w:r>
      <w:r>
        <w:t xml:space="preserve"> </w:t>
      </w:r>
      <w:r>
        <w:t xml:space="preserve">La presión actual</w:t>
      </w:r>
      <w:r>
        <w:t xml:space="preserve"> </w:t>
      </w:r>
      <w:r>
        <w:rPr>
          <w:b/>
          <w:bCs/>
        </w:rPr>
        <w:t xml:space="preserve">no depende directamente</w:t>
      </w:r>
      <w:r>
        <w:t xml:space="preserve"> </w:t>
      </w:r>
      <w:r>
        <w:t xml:space="preserve">de la temperatura pasada, una vez controlado por la presión y el caudal pasados. Esto implica:</w:t>
      </w:r>
    </w:p>
    <w:p>
      <w:pPr>
        <w:pStyle w:val="Compact"/>
        <w:numPr>
          <w:ilvl w:val="0"/>
          <w:numId w:val="1004"/>
        </w:numPr>
      </w:pPr>
      <w:r>
        <w:rPr>
          <w:b/>
          <w:bCs/>
        </w:rPr>
        <w:t xml:space="preserve">Restricción estructural:</w:t>
      </w:r>
      <w:r>
        <w:t xml:space="preserve"> </w:t>
      </w:r>
      <w:r>
        <w:t xml:space="preserve">No existe acoplamiento dinámico directo temperatura → presión con rezago de un periodo.</w:t>
      </w:r>
    </w:p>
    <w:p>
      <w:pPr>
        <w:pStyle w:val="Compact"/>
        <w:numPr>
          <w:ilvl w:val="0"/>
          <w:numId w:val="1004"/>
        </w:numPr>
      </w:pPr>
      <w:r>
        <w:rPr>
          <w:b/>
          <w:bCs/>
        </w:rPr>
        <w:t xml:space="preserve">Implicación para control automático:</w:t>
      </w:r>
      <w:r>
        <w:t xml:space="preserve"> </w:t>
      </w:r>
      <w:r>
        <w:t xml:space="preserve">El lazo de control de presión puede diseñarse sin considerar la temperatura como variable explicativa directa (aunque puede haber efectos indirectos vía el caudal, si</w:t>
      </w:r>
      <w:r>
        <w:t xml:space="preserve"> </w:t>
      </w:r>
      <m:oMath>
        <m:sSub>
          <m:e>
            <m:r>
              <m:t>a</m:t>
            </m:r>
          </m:e>
          <m:sub>
            <m:r>
              <m:t>23</m:t>
            </m:r>
          </m:sub>
        </m:sSub>
        <m:r>
          <m:rPr>
            <m:sty m:val="p"/>
          </m:rPr>
          <m:t>≠</m:t>
        </m:r>
        <m:r>
          <m:t>0</m:t>
        </m:r>
      </m:oMath>
      <w:r>
        <w:t xml:space="preserve">).</w:t>
      </w:r>
    </w:p>
    <w:p>
      <w:pPr>
        <w:pStyle w:val="Compact"/>
        <w:numPr>
          <w:ilvl w:val="0"/>
          <w:numId w:val="1004"/>
        </w:numPr>
      </w:pPr>
      <w:r>
        <w:rPr>
          <w:b/>
          <w:bCs/>
        </w:rPr>
        <w:t xml:space="preserve">Test de hipótesis:</w:t>
      </w:r>
      <w:r>
        <w:t xml:space="preserve"> </w:t>
      </w:r>
      <w:r>
        <w:t xml:space="preserve">En la estimación,</w:t>
      </w:r>
      <w:r>
        <w:t xml:space="preserve"> </w:t>
      </w:r>
      <m:oMath>
        <m:sSub>
          <m:e>
            <m:r>
              <m:t>a</m:t>
            </m:r>
          </m:e>
          <m:sub>
            <m:r>
              <m:t>21</m:t>
            </m:r>
          </m:sub>
        </m:sSub>
        <m:r>
          <m:rPr>
            <m:sty m:val="p"/>
          </m:rPr>
          <m:t>=</m:t>
        </m:r>
        <m:r>
          <m:t>0</m:t>
        </m:r>
      </m:oMath>
      <w:r>
        <w:t xml:space="preserve"> </w:t>
      </w:r>
      <w:r>
        <w:t xml:space="preserve">puede imponerse como restricción para un modelo más parsimonioso (VAR restringido).</w:t>
      </w:r>
    </w:p>
    <w:bookmarkEnd w:id="29"/>
    <w:bookmarkStart w:id="30" w:name="X668879a1090278dd80a96855ad9eddd67487b5f"/>
    <w:p>
      <w:pPr>
        <w:pStyle w:val="Heading4"/>
      </w:pPr>
      <w:r>
        <w:t xml:space="preserve">c) Criterios de selección del orden óptimo</w:t>
      </w:r>
      <w:r>
        <w:t xml:space="preserve"> </w:t>
      </w:r>
      <m:oMath>
        <m:r>
          <m:t>p</m:t>
        </m:r>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Fórmula (conceptual)</w:t>
            </w:r>
          </w:p>
        </w:tc>
        <w:tc>
          <w:tcPr/>
          <w:p>
            <w:pPr>
              <w:pStyle w:val="Compact"/>
            </w:pPr>
            <w:r>
              <w:t xml:space="preserve">Principio que balancea</w:t>
            </w:r>
          </w:p>
        </w:tc>
      </w:tr>
      <w:tr>
        <w:tc>
          <w:tcPr/>
          <w:p>
            <w:pPr>
              <w:pStyle w:val="Compact"/>
            </w:pPr>
            <w:r>
              <w:rPr>
                <w:b/>
                <w:bCs/>
              </w:rPr>
              <w:t xml:space="preserve">AIC</w:t>
            </w:r>
            <w:r>
              <w:t xml:space="preserve"> </w:t>
            </w:r>
            <w:r>
              <w:t xml:space="preserve">(Akaike Information Criterion)</w:t>
            </w:r>
          </w:p>
        </w:tc>
        <w:tc>
          <w:tcPr/>
          <w:p>
            <w:pPr>
              <w:pStyle w:val="Compact"/>
            </w:pPr>
            <m:oMath>
              <m:r>
                <m:rPr>
                  <m:nor/>
                  <m:sty m:val="p"/>
                </m:rPr>
                <m:t>AIC</m:t>
              </m:r>
              <m:r>
                <m:rPr>
                  <m:sty m:val="p"/>
                </m:rPr>
                <m:t>(</m:t>
              </m:r>
              <m:r>
                <m:t>p</m:t>
              </m:r>
              <m:r>
                <m:rPr>
                  <m:sty m:val="p"/>
                </m:rPr>
                <m:t>)</m:t>
              </m:r>
              <m:r>
                <m:rPr>
                  <m:sty m:val="p"/>
                </m:rPr>
                <m:t>=</m:t>
              </m:r>
              <m:r>
                <m:rPr>
                  <m:sty m:val="p"/>
                </m:rPr>
                <m:t>ln</m:t>
              </m:r>
              <m:r>
                <m:rPr>
                  <m:sty m:val="p"/>
                </m:rPr>
                <m:t>|</m:t>
              </m:r>
              <m:sSub>
                <m:e>
                  <m:acc>
                    <m:accPr>
                      <m:chr m:val="̂"/>
                    </m:accPr>
                    <m:e>
                      <m:r>
                        <m:rPr>
                          <m:sty m:val="p"/>
                        </m:rPr>
                        <m:t>Σ</m:t>
                      </m:r>
                    </m:e>
                  </m:acc>
                </m:e>
                <m:sub>
                  <m:r>
                    <m:t>p</m:t>
                  </m:r>
                </m:sub>
              </m:sSub>
              <m:r>
                <m:rPr>
                  <m:sty m:val="p"/>
                </m:rPr>
                <m:t>|</m:t>
              </m:r>
              <m:r>
                <m:rPr>
                  <m:sty m:val="p"/>
                </m:rPr>
                <m:t>+</m:t>
              </m:r>
              <m:f>
                <m:fPr>
                  <m:type m:val="bar"/>
                </m:fPr>
                <m:num>
                  <m:r>
                    <m:t>2</m:t>
                  </m:r>
                </m:num>
                <m:den>
                  <m:r>
                    <m:t>T</m:t>
                  </m:r>
                </m:den>
              </m:f>
              <m:sSup>
                <m:e>
                  <m:r>
                    <m:t>K</m:t>
                  </m:r>
                </m:e>
                <m:sup>
                  <m:r>
                    <m:t>2</m:t>
                  </m:r>
                </m:sup>
              </m:sSup>
              <m:r>
                <m:t>p</m:t>
              </m:r>
            </m:oMath>
          </w:p>
        </w:tc>
        <w:tc>
          <w:tcPr/>
          <w:p>
            <w:pPr>
              <w:pStyle w:val="Compact"/>
            </w:pPr>
            <w:r>
              <w:t xml:space="preserve">Bondad de ajuste vs. complejidad; penalización</w:t>
            </w:r>
            <w:r>
              <w:t xml:space="preserve"> </w:t>
            </w:r>
            <w:r>
              <w:rPr>
                <w:b/>
                <w:bCs/>
              </w:rPr>
              <w:t xml:space="preserve">moderada</w:t>
            </w:r>
            <w:r>
              <w:t xml:space="preserve"> </w:t>
            </w:r>
            <w:r>
              <w:t xml:space="preserve">por parámetros adicionales. Tiende a seleccionar modelos con más rezagos.</w:t>
            </w:r>
          </w:p>
        </w:tc>
      </w:tr>
      <w:tr>
        <w:tc>
          <w:tcPr/>
          <w:p>
            <w:pPr>
              <w:pStyle w:val="Compact"/>
            </w:pPr>
            <w:r>
              <w:rPr>
                <w:b/>
                <w:bCs/>
              </w:rPr>
              <w:t xml:space="preserve">BIC/SIC</w:t>
            </w:r>
            <w:r>
              <w:t xml:space="preserve"> </w:t>
            </w:r>
            <w:r>
              <w:t xml:space="preserve">(Bayesian/Schwarz Information Criterion)</w:t>
            </w:r>
          </w:p>
        </w:tc>
        <w:tc>
          <w:tcPr/>
          <w:p>
            <w:pPr>
              <w:pStyle w:val="Compact"/>
            </w:pPr>
            <m:oMath>
              <m:r>
                <m:rPr>
                  <m:nor/>
                  <m:sty m:val="p"/>
                </m:rPr>
                <m:t>BIC</m:t>
              </m:r>
              <m:r>
                <m:rPr>
                  <m:sty m:val="p"/>
                </m:rPr>
                <m:t>(</m:t>
              </m:r>
              <m:r>
                <m:t>p</m:t>
              </m:r>
              <m:r>
                <m:rPr>
                  <m:sty m:val="p"/>
                </m:rPr>
                <m:t>)</m:t>
              </m:r>
              <m:r>
                <m:rPr>
                  <m:sty m:val="p"/>
                </m:rPr>
                <m:t>=</m:t>
              </m:r>
              <m:r>
                <m:rPr>
                  <m:sty m:val="p"/>
                </m:rPr>
                <m:t>ln</m:t>
              </m:r>
              <m:r>
                <m:rPr>
                  <m:sty m:val="p"/>
                </m:rPr>
                <m:t>|</m:t>
              </m:r>
              <m:sSub>
                <m:e>
                  <m:acc>
                    <m:accPr>
                      <m:chr m:val="̂"/>
                    </m:accPr>
                    <m:e>
                      <m:r>
                        <m:rPr>
                          <m:sty m:val="p"/>
                        </m:rPr>
                        <m:t>Σ</m:t>
                      </m:r>
                    </m:e>
                  </m:acc>
                </m:e>
                <m:sub>
                  <m:r>
                    <m:t>p</m:t>
                  </m:r>
                </m:sub>
              </m:sSub>
              <m:r>
                <m:rPr>
                  <m:sty m:val="p"/>
                </m:rPr>
                <m:t>|</m:t>
              </m:r>
              <m:r>
                <m:rPr>
                  <m:sty m:val="p"/>
                </m:rPr>
                <m:t>+</m:t>
              </m:r>
              <m:f>
                <m:fPr>
                  <m:type m:val="bar"/>
                </m:fPr>
                <m:num>
                  <m:r>
                    <m:rPr>
                      <m:sty m:val="p"/>
                    </m:rPr>
                    <m:t>ln</m:t>
                  </m:r>
                  <m:r>
                    <m:t>T</m:t>
                  </m:r>
                </m:num>
                <m:den>
                  <m:r>
                    <m:t>T</m:t>
                  </m:r>
                </m:den>
              </m:f>
              <m:sSup>
                <m:e>
                  <m:r>
                    <m:t>K</m:t>
                  </m:r>
                </m:e>
                <m:sup>
                  <m:r>
                    <m:t>2</m:t>
                  </m:r>
                </m:sup>
              </m:sSup>
              <m:r>
                <m:t>p</m:t>
              </m:r>
            </m:oMath>
          </w:p>
        </w:tc>
        <w:tc>
          <w:tcPr/>
          <w:p>
            <w:pPr>
              <w:pStyle w:val="Compact"/>
            </w:pPr>
            <w:r>
              <w:t xml:space="preserve">Bondad de ajuste vs. complejidad; penalización</w:t>
            </w:r>
            <w:r>
              <w:t xml:space="preserve"> </w:t>
            </w:r>
            <w:r>
              <w:rPr>
                <w:b/>
                <w:bCs/>
              </w:rPr>
              <w:t xml:space="preserve">más estricta</w:t>
            </w:r>
            <w:r>
              <w:t xml:space="preserve"> </w:t>
            </w:r>
            <w:r>
              <w:t xml:space="preserve">que AIC (crece con</w:t>
            </w:r>
            <w:r>
              <w:t xml:space="preserve"> </w:t>
            </w:r>
            <m:oMath>
              <m:r>
                <m:rPr>
                  <m:sty m:val="p"/>
                </m:rPr>
                <m:t>ln</m:t>
              </m:r>
              <m:r>
                <m:t>T</m:t>
              </m:r>
            </m:oMath>
            <w:r>
              <w:t xml:space="preserve">). Tiende a seleccionar modelos más parsimoniosos.</w:t>
            </w:r>
          </w:p>
        </w:tc>
      </w:tr>
      <w:tr>
        <w:tc>
          <w:tcPr/>
          <w:p>
            <w:pPr>
              <w:pStyle w:val="Compact"/>
            </w:pPr>
            <w:r>
              <w:rPr>
                <w:b/>
                <w:bCs/>
              </w:rPr>
              <w:t xml:space="preserve">HQIC</w:t>
            </w:r>
            <w:r>
              <w:t xml:space="preserve"> </w:t>
            </w:r>
            <w:r>
              <w:t xml:space="preserve">(Hannan-Quinn)</w:t>
            </w:r>
          </w:p>
        </w:tc>
        <w:tc>
          <w:tcPr/>
          <w:p>
            <w:pPr>
              <w:pStyle w:val="Compact"/>
            </w:pPr>
            <m:oMath>
              <m:r>
                <m:rPr>
                  <m:nor/>
                  <m:sty m:val="p"/>
                </m:rPr>
                <m:t>HQIC</m:t>
              </m:r>
              <m:r>
                <m:rPr>
                  <m:sty m:val="p"/>
                </m:rPr>
                <m:t>(</m:t>
              </m:r>
              <m:r>
                <m:t>p</m:t>
              </m:r>
              <m:r>
                <m:rPr>
                  <m:sty m:val="p"/>
                </m:rPr>
                <m:t>)</m:t>
              </m:r>
              <m:r>
                <m:rPr>
                  <m:sty m:val="p"/>
                </m:rPr>
                <m:t>=</m:t>
              </m:r>
              <m:r>
                <m:rPr>
                  <m:sty m:val="p"/>
                </m:rPr>
                <m:t>ln</m:t>
              </m:r>
              <m:r>
                <m:rPr>
                  <m:sty m:val="p"/>
                </m:rPr>
                <m:t>|</m:t>
              </m:r>
              <m:sSub>
                <m:e>
                  <m:acc>
                    <m:accPr>
                      <m:chr m:val="̂"/>
                    </m:accPr>
                    <m:e>
                      <m:r>
                        <m:rPr>
                          <m:sty m:val="p"/>
                        </m:rPr>
                        <m:t>Σ</m:t>
                      </m:r>
                    </m:e>
                  </m:acc>
                </m:e>
                <m:sub>
                  <m:r>
                    <m:t>p</m:t>
                  </m:r>
                </m:sub>
              </m:sSub>
              <m:r>
                <m:rPr>
                  <m:sty m:val="p"/>
                </m:rPr>
                <m:t>|</m:t>
              </m:r>
              <m:r>
                <m:rPr>
                  <m:sty m:val="p"/>
                </m:rPr>
                <m:t>+</m:t>
              </m:r>
              <m:f>
                <m:fPr>
                  <m:type m:val="bar"/>
                </m:fPr>
                <m:num>
                  <m:r>
                    <m:t>2</m:t>
                  </m:r>
                  <m:r>
                    <m:rPr>
                      <m:sty m:val="p"/>
                    </m:rPr>
                    <m:t>ln</m:t>
                  </m:r>
                  <m:r>
                    <m:rPr>
                      <m:sty m:val="p"/>
                    </m:rPr>
                    <m:t>(</m:t>
                  </m:r>
                  <m:r>
                    <m:rPr>
                      <m:sty m:val="p"/>
                    </m:rPr>
                    <m:t>ln</m:t>
                  </m:r>
                  <m:r>
                    <m:t>T</m:t>
                  </m:r>
                  <m:r>
                    <m:rPr>
                      <m:sty m:val="p"/>
                    </m:rPr>
                    <m:t>)</m:t>
                  </m:r>
                </m:num>
                <m:den>
                  <m:r>
                    <m:t>T</m:t>
                  </m:r>
                </m:den>
              </m:f>
              <m:sSup>
                <m:e>
                  <m:r>
                    <m:t>K</m:t>
                  </m:r>
                </m:e>
                <m:sup>
                  <m:r>
                    <m:t>2</m:t>
                  </m:r>
                </m:sup>
              </m:sSup>
              <m:r>
                <m:t>p</m:t>
              </m:r>
            </m:oMath>
          </w:p>
        </w:tc>
        <w:tc>
          <w:tcPr/>
          <w:p>
            <w:pPr>
              <w:pStyle w:val="Compact"/>
            </w:pPr>
            <w:r>
              <w:t xml:space="preserve">Intermedio entre AIC y BIC; penalización creciente con el tamaño muestral.</w:t>
            </w:r>
          </w:p>
        </w:tc>
      </w:tr>
      <w:tr>
        <w:tc>
          <w:tcPr/>
          <w:p>
            <w:pPr>
              <w:pStyle w:val="Compact"/>
            </w:pPr>
            <w:r>
              <w:rPr>
                <w:b/>
                <w:bCs/>
              </w:rPr>
              <w:t xml:space="preserve">FPE</w:t>
            </w:r>
            <w:r>
              <w:t xml:space="preserve"> </w:t>
            </w:r>
            <w:r>
              <w:t xml:space="preserve">(Final Prediction Error)</w:t>
            </w:r>
          </w:p>
        </w:tc>
        <w:tc>
          <w:tcPr/>
          <w:p>
            <w:pPr>
              <w:pStyle w:val="Compact"/>
            </w:pPr>
            <m:oMath>
              <m:r>
                <m:rPr>
                  <m:nor/>
                  <m:sty m:val="p"/>
                </m:rPr>
                <m:t>FPE</m:t>
              </m:r>
              <m:r>
                <m:rPr>
                  <m:sty m:val="p"/>
                </m:rPr>
                <m:t>(</m:t>
              </m:r>
              <m:r>
                <m:t>p</m:t>
              </m:r>
              <m:r>
                <m:rPr>
                  <m:sty m:val="p"/>
                </m:rPr>
                <m:t>)</m:t>
              </m:r>
              <m:r>
                <m:rPr>
                  <m:sty m:val="p"/>
                </m:rPr>
                <m:t>=</m:t>
              </m:r>
              <m:sSup>
                <m:e>
                  <m:d>
                    <m:dPr>
                      <m:begChr m:val="("/>
                      <m:sepChr m:val=""/>
                      <m:endChr m:val=")"/>
                      <m:grow/>
                    </m:dPr>
                    <m:e>
                      <m:f>
                        <m:fPr>
                          <m:type m:val="bar"/>
                        </m:fPr>
                        <m:num>
                          <m:r>
                            <m:t>T</m:t>
                          </m:r>
                          <m:r>
                            <m:rPr>
                              <m:sty m:val="p"/>
                            </m:rPr>
                            <m:t>+</m:t>
                          </m:r>
                          <m:r>
                            <m:t>K</m:t>
                          </m:r>
                          <m:r>
                            <m:t>p</m:t>
                          </m:r>
                          <m:r>
                            <m:rPr>
                              <m:sty m:val="p"/>
                            </m:rPr>
                            <m:t>+</m:t>
                          </m:r>
                          <m:r>
                            <m:t>1</m:t>
                          </m:r>
                        </m:num>
                        <m:den>
                          <m:r>
                            <m:t>T</m:t>
                          </m:r>
                          <m:r>
                            <m:rPr>
                              <m:sty m:val="p"/>
                            </m:rPr>
                            <m:t>−</m:t>
                          </m:r>
                          <m:r>
                            <m:t>K</m:t>
                          </m:r>
                          <m:r>
                            <m:t>p</m:t>
                          </m:r>
                          <m:r>
                            <m:rPr>
                              <m:sty m:val="p"/>
                            </m:rPr>
                            <m:t>−</m:t>
                          </m:r>
                          <m:r>
                            <m:t>1</m:t>
                          </m:r>
                        </m:den>
                      </m:f>
                    </m:e>
                  </m:d>
                </m:e>
                <m:sup>
                  <m:r>
                    <m:t>K</m:t>
                  </m:r>
                </m:sup>
              </m:sSup>
              <m:r>
                <m:rPr>
                  <m:sty m:val="p"/>
                </m:rPr>
                <m:t>|</m:t>
              </m:r>
              <m:sSub>
                <m:e>
                  <m:acc>
                    <m:accPr>
                      <m:chr m:val="̂"/>
                    </m:accPr>
                    <m:e>
                      <m:r>
                        <m:rPr>
                          <m:sty m:val="p"/>
                        </m:rPr>
                        <m:t>Σ</m:t>
                      </m:r>
                    </m:e>
                  </m:acc>
                </m:e>
                <m:sub>
                  <m:r>
                    <m:t>p</m:t>
                  </m:r>
                </m:sub>
              </m:sSub>
              <m:r>
                <m:rPr>
                  <m:sty m:val="p"/>
                </m:rPr>
                <m:t>|</m:t>
              </m:r>
            </m:oMath>
          </w:p>
        </w:tc>
        <w:tc>
          <w:tcPr/>
          <w:p>
            <w:pPr>
              <w:pStyle w:val="Compact"/>
            </w:pPr>
            <w:r>
              <w:t xml:space="preserve">Minimiza el error de predicción fuera de muestra; balance entre ajuste in-sample y capacidad predictiva.</w:t>
            </w:r>
          </w:p>
        </w:tc>
      </w:tr>
    </w:tbl>
    <w:p>
      <w:pPr>
        <w:pStyle w:val="BodyText"/>
      </w:pPr>
      <w:r>
        <w:rPr>
          <w:b/>
          <w:bCs/>
        </w:rPr>
        <w:t xml:space="preserve">Principio general:</w:t>
      </w:r>
      <w:r>
        <w:t xml:space="preserve"> </w:t>
      </w:r>
      <w:r>
        <w:t xml:space="preserve">Todos los criterios de información minimizan una función que combina el logaritmo del determinante de la matriz de covarianza de residuos (</w:t>
      </w:r>
      <m:oMath>
        <m:r>
          <m:rPr>
            <m:sty m:val="p"/>
          </m:rPr>
          <m:t>ln</m:t>
        </m:r>
        <m:r>
          <m:rPr>
            <m:sty m:val="p"/>
          </m:rPr>
          <m:t>|</m:t>
        </m:r>
        <m:sSub>
          <m:e>
            <m:acc>
              <m:accPr>
                <m:chr m:val="̂"/>
              </m:accPr>
              <m:e>
                <m:r>
                  <m:rPr>
                    <m:sty m:val="p"/>
                  </m:rPr>
                  <m:t>Σ</m:t>
                </m:r>
              </m:e>
            </m:acc>
          </m:e>
          <m:sub>
            <m:r>
              <m:t>p</m:t>
            </m:r>
          </m:sub>
        </m:sSub>
        <m:r>
          <m:rPr>
            <m:sty m:val="p"/>
          </m:rPr>
          <m:t>|</m:t>
        </m:r>
      </m:oMath>
      <w:r>
        <w:t xml:space="preserve">, proxy de bondad de ajuste) con un término de penalización creciente en</w:t>
      </w:r>
      <w:r>
        <w:t xml:space="preserve"> </w:t>
      </w:r>
      <m:oMath>
        <m:r>
          <m:t>p</m:t>
        </m:r>
      </m:oMath>
      <w:r>
        <w:t xml:space="preserve"> </w:t>
      </w:r>
      <w:r>
        <w:t xml:space="preserve">(complejidad del modelo). El orden óptimo</w:t>
      </w:r>
      <w:r>
        <w:t xml:space="preserve"> </w:t>
      </w:r>
      <m:oMath>
        <m:acc>
          <m:accPr>
            <m:chr m:val="̂"/>
          </m:accPr>
          <m:e>
            <m:r>
              <m:t>p</m:t>
            </m:r>
          </m:e>
        </m:acc>
      </m:oMath>
      <w:r>
        <w:t xml:space="preserve"> </w:t>
      </w:r>
      <w:r>
        <w:t xml:space="preserve">es aquel que minimiza el criterio elegido.</w:t>
      </w:r>
    </w:p>
    <w:p>
      <w:r>
        <w:pict>
          <v:rect style="width:0;height:1.5pt" o:hralign="center" o:hrstd="t" o:hr="t"/>
        </w:pict>
      </w:r>
    </w:p>
    <w:bookmarkEnd w:id="30"/>
    <w:bookmarkEnd w:id="31"/>
    <w:bookmarkStart w:id="35" w:name="Xce14016b9e3fab10b66a3f09381497df47bcb9d"/>
    <w:p>
      <w:pPr>
        <w:pStyle w:val="Heading3"/>
      </w:pPr>
      <w:r>
        <w:t xml:space="preserve">Pregunta 4 (15 %) — Aplicaciones de VAR a Sistemas de Potencia</w:t>
      </w:r>
    </w:p>
    <w:bookmarkStart w:id="32" w:name="X82fef447a9b22687325a483ebada5f13a0fcec4"/>
    <w:p>
      <w:pPr>
        <w:pStyle w:val="Heading4"/>
      </w:pPr>
      <w:r>
        <w:t xml:space="preserve">a) Pronóstico conjunto del despacho económico</w:t>
      </w:r>
    </w:p>
    <w:p>
      <w:pPr>
        <w:pStyle w:val="FirstParagraph"/>
      </w:pPr>
      <w:r>
        <w:t xml:space="preserve">Un modelo VAR puede pronosticar conjuntamente las variables del despacho económico en un sistema con generación hidroeléctrica, eólica y demanda, capturando las</w:t>
      </w:r>
      <w:r>
        <w:t xml:space="preserve"> </w:t>
      </w:r>
      <w:r>
        <w:rPr>
          <w:b/>
          <w:bCs/>
        </w:rPr>
        <w:t xml:space="preserve">interdependencias dinámicas</w:t>
      </w:r>
      <w:r>
        <w:t xml:space="preserve"> </w:t>
      </w:r>
      <w:r>
        <w:t xml:space="preserve">entre fuentes de generación y consumo.</w:t>
      </w:r>
    </w:p>
    <w:p>
      <w:pPr>
        <w:pStyle w:val="BodyText"/>
      </w:pPr>
      <w:r>
        <w:rPr>
          <w:b/>
          <w:bCs/>
        </w:rPr>
        <w:t xml:space="preserve">Variables del VAR:</w:t>
      </w:r>
    </w:p>
    <w:p>
      <w:pPr>
        <w:pStyle w:val="BodyText"/>
      </w:pPr>
      <m:oMathPara>
        <m:oMathParaPr>
          <m:jc m:val="center"/>
        </m:oMathParaPr>
        <m:oMath>
          <m:sSub>
            <m:e>
              <m:r>
                <m:t>Y</m:t>
              </m:r>
            </m:e>
            <m:sub>
              <m:r>
                <m:t>t</m:t>
              </m:r>
            </m:sub>
          </m:sSub>
          <m:r>
            <m:rPr>
              <m:sty m:val="p"/>
            </m:rPr>
            <m:t>=</m:t>
          </m:r>
          <m:r>
            <m:rPr>
              <m:sty m:val="p"/>
            </m:rPr>
            <m:t>[</m:t>
          </m:r>
          <m:sSub>
            <m:e>
              <m:r>
                <m:t>P</m:t>
              </m:r>
            </m:e>
            <m:sub>
              <m:r>
                <m:rPr>
                  <m:nor/>
                  <m:sty m:val="p"/>
                </m:rPr>
                <m:t>hidro</m:t>
              </m:r>
              <m:r>
                <m:rPr>
                  <m:sty m:val="p"/>
                </m:rPr>
                <m:t>,</m:t>
              </m:r>
              <m:r>
                <m:t>t</m:t>
              </m:r>
            </m:sub>
          </m:sSub>
          <m:r>
            <m:rPr>
              <m:sty m:val="p"/>
            </m:rPr>
            <m:t>,</m:t>
          </m:r>
          <m:r>
            <m:t> </m:t>
          </m:r>
          <m:sSub>
            <m:e>
              <m:r>
                <m:t>P</m:t>
              </m:r>
            </m:e>
            <m:sub>
              <m:r>
                <m:rPr>
                  <m:nor/>
                  <m:sty m:val="p"/>
                </m:rPr>
                <m:t>eolica</m:t>
              </m:r>
              <m:r>
                <m:rPr>
                  <m:sty m:val="p"/>
                </m:rPr>
                <m:t>,</m:t>
              </m:r>
              <m:r>
                <m:t>t</m:t>
              </m:r>
            </m:sub>
          </m:sSub>
          <m:r>
            <m:rPr>
              <m:sty m:val="p"/>
            </m:rPr>
            <m:t>,</m:t>
          </m:r>
          <m:r>
            <m:t> </m:t>
          </m:r>
          <m:sSub>
            <m:e>
              <m:r>
                <m:t>D</m:t>
              </m:r>
            </m:e>
            <m:sub>
              <m:r>
                <m:t>t</m:t>
              </m:r>
            </m:sub>
          </m:sSub>
          <m:r>
            <m:rPr>
              <m:sty m:val="p"/>
            </m:rPr>
            <m:t>,</m:t>
          </m:r>
          <m:r>
            <m:t> </m:t>
          </m:r>
          <m:sSub>
            <m:e>
              <m:r>
                <m:t>P</m:t>
              </m:r>
            </m:e>
            <m:sub>
              <m:r>
                <m:rPr>
                  <m:nor/>
                  <m:sty m:val="p"/>
                </m:rPr>
                <m:t>spot</m:t>
              </m:r>
              <m:r>
                <m:rPr>
                  <m:sty m:val="p"/>
                </m:rPr>
                <m:t>,</m:t>
              </m:r>
              <m:r>
                <m:t>t</m:t>
              </m:r>
            </m:sub>
          </m:sSub>
          <m:sSup>
            <m:e>
              <m:r>
                <m:rPr>
                  <m:sty m:val="p"/>
                </m:rPr>
                <m:t>]</m:t>
              </m:r>
            </m:e>
            <m:sup>
              <m:r>
                <m:rPr>
                  <m:sty m:val="p"/>
                </m:rPr>
                <m:t>′</m:t>
              </m:r>
            </m:sup>
          </m:sSup>
        </m:oMath>
      </m:oMathPara>
    </w:p>
    <w:p>
      <w:pPr>
        <w:pStyle w:val="FirstParagraph"/>
      </w:pPr>
      <w:r>
        <w:t xml:space="preserve">donde</w:t>
      </w:r>
      <w:r>
        <w:t xml:space="preserve"> </w:t>
      </w:r>
      <m:oMath>
        <m:sSub>
          <m:e>
            <m:r>
              <m:t>P</m:t>
            </m:r>
          </m:e>
          <m:sub>
            <m:r>
              <m:rPr>
                <m:nor/>
                <m:sty m:val="p"/>
              </m:rPr>
              <m:t>hidro</m:t>
            </m:r>
            <m:r>
              <m:rPr>
                <m:sty m:val="p"/>
              </m:rPr>
              <m:t>,</m:t>
            </m:r>
            <m:r>
              <m:t>t</m:t>
            </m:r>
          </m:sub>
        </m:sSub>
      </m:oMath>
      <w:r>
        <w:t xml:space="preserve"> </w:t>
      </w:r>
      <w:r>
        <w:t xml:space="preserve">es la generación hidroeléctrica,</w:t>
      </w:r>
      <w:r>
        <w:t xml:space="preserve"> </w:t>
      </w:r>
      <m:oMath>
        <m:sSub>
          <m:e>
            <m:r>
              <m:t>P</m:t>
            </m:r>
          </m:e>
          <m:sub>
            <m:r>
              <m:rPr>
                <m:nor/>
                <m:sty m:val="p"/>
              </m:rPr>
              <m:t>eolica</m:t>
            </m:r>
            <m:r>
              <m:rPr>
                <m:sty m:val="p"/>
              </m:rPr>
              <m:t>,</m:t>
            </m:r>
            <m:r>
              <m:t>t</m:t>
            </m:r>
          </m:sub>
        </m:sSub>
      </m:oMath>
      <w:r>
        <w:t xml:space="preserve"> </w:t>
      </w:r>
      <w:r>
        <w:t xml:space="preserve">la generación eólica,</w:t>
      </w:r>
      <w:r>
        <w:t xml:space="preserve"> </w:t>
      </w:r>
      <m:oMath>
        <m:sSub>
          <m:e>
            <m:r>
              <m:t>D</m:t>
            </m:r>
          </m:e>
          <m:sub>
            <m:r>
              <m:t>t</m:t>
            </m:r>
          </m:sub>
        </m:sSub>
      </m:oMath>
      <w:r>
        <w:t xml:space="preserve"> </w:t>
      </w:r>
      <w:r>
        <w:t xml:space="preserve">la demanda y</w:t>
      </w:r>
      <w:r>
        <w:t xml:space="preserve"> </w:t>
      </w:r>
      <m:oMath>
        <m:sSub>
          <m:e>
            <m:r>
              <m:t>P</m:t>
            </m:r>
          </m:e>
          <m:sub>
            <m:r>
              <m:rPr>
                <m:nor/>
                <m:sty m:val="p"/>
              </m:rPr>
              <m:t>spot</m:t>
            </m:r>
            <m:r>
              <m:rPr>
                <m:sty m:val="p"/>
              </m:rPr>
              <m:t>,</m:t>
            </m:r>
            <m:r>
              <m:t>t</m:t>
            </m:r>
          </m:sub>
        </m:sSub>
      </m:oMath>
      <w:r>
        <w:t xml:space="preserve"> </w:t>
      </w:r>
      <w:r>
        <w:t xml:space="preserve">el precio spot de energía.</w:t>
      </w:r>
    </w:p>
    <w:p>
      <w:pPr>
        <w:pStyle w:val="BodyText"/>
      </w:pPr>
      <w:r>
        <w:rPr>
          <w:b/>
          <w:bCs/>
        </w:rPr>
        <w:t xml:space="preserve">Procedimiento:</w:t>
      </w:r>
    </w:p>
    <w:p>
      <w:pPr>
        <w:pStyle w:val="Compact"/>
        <w:numPr>
          <w:ilvl w:val="0"/>
          <w:numId w:val="1005"/>
        </w:numPr>
      </w:pPr>
      <w:r>
        <w:rPr>
          <w:b/>
          <w:bCs/>
        </w:rPr>
        <w:t xml:space="preserve">Estimación:</w:t>
      </w:r>
      <w:r>
        <w:t xml:space="preserve"> </w:t>
      </w:r>
      <w:r>
        <w:t xml:space="preserve">Se estima VAR(</w:t>
      </w:r>
      <m:oMath>
        <m:acc>
          <m:accPr>
            <m:chr m:val="̂"/>
          </m:accPr>
          <m:e>
            <m:r>
              <m:t>p</m:t>
            </m:r>
          </m:e>
        </m:acc>
      </m:oMath>
      <w:r>
        <w:t xml:space="preserve">) con datos históricos horarios o diarios de generación y demanda.</w:t>
      </w:r>
    </w:p>
    <w:p>
      <w:pPr>
        <w:pStyle w:val="Compact"/>
        <w:numPr>
          <w:ilvl w:val="0"/>
          <w:numId w:val="1005"/>
        </w:numPr>
      </w:pPr>
      <w:r>
        <w:rPr>
          <w:b/>
          <w:bCs/>
        </w:rPr>
        <w:t xml:space="preserve">Pronóstico iterativo:</w:t>
      </w:r>
      <w:r>
        <w:t xml:space="preserve"> </w:t>
      </w:r>
      <w:r>
        <w:t xml:space="preserve">Dado el vector de rezagos observados, se calcula</w:t>
      </w:r>
      <w:r>
        <w:t xml:space="preserve"> </w:t>
      </w:r>
      <m:oMath>
        <m:sSub>
          <m:e>
            <m:acc>
              <m:accPr>
                <m:chr m:val="̂"/>
              </m:accPr>
              <m:e>
                <m:r>
                  <m:t>Y</m:t>
                </m:r>
              </m:e>
            </m:acc>
          </m:e>
          <m:sub>
            <m:r>
              <m:t>T</m:t>
            </m:r>
            <m:r>
              <m:rPr>
                <m:sty m:val="p"/>
              </m:rPr>
              <m:t>+</m:t>
            </m:r>
            <m:r>
              <m:t>h</m:t>
            </m:r>
            <m:r>
              <m:rPr>
                <m:sty m:val="p"/>
              </m:rPr>
              <m:t>|</m:t>
            </m:r>
            <m:r>
              <m:t>T</m:t>
            </m:r>
          </m:sub>
        </m:sSub>
        <m:r>
          <m:rPr>
            <m:sty m:val="p"/>
          </m:rPr>
          <m:t>=</m:t>
        </m:r>
        <m:acc>
          <m:accPr>
            <m:chr m:val="̂"/>
          </m:accPr>
          <m:e>
            <m:r>
              <m:t>c</m:t>
            </m:r>
          </m:e>
        </m:acc>
        <m:r>
          <m:rPr>
            <m:sty m:val="p"/>
          </m:rPr>
          <m:t>+</m:t>
        </m:r>
        <m:nary>
          <m:naryPr>
            <m:chr m:val="∑"/>
            <m:limLoc m:val="undOvr"/>
            <m:subHide m:val="off"/>
            <m:supHide m:val="off"/>
          </m:naryPr>
          <m:sub>
            <m:r>
              <m:t>i</m:t>
            </m:r>
            <m:r>
              <m:rPr>
                <m:sty m:val="p"/>
              </m:rPr>
              <m:t>=</m:t>
            </m:r>
            <m:r>
              <m:t>1</m:t>
            </m:r>
          </m:sub>
          <m:sup>
            <m:r>
              <m:t>p</m:t>
            </m:r>
          </m:sup>
          <m:e>
            <m:sSub>
              <m:e>
                <m:acc>
                  <m:accPr>
                    <m:chr m:val="̂"/>
                  </m:accPr>
                  <m:e>
                    <m:r>
                      <m:t>A</m:t>
                    </m:r>
                  </m:e>
                </m:acc>
              </m:e>
              <m:sub>
                <m:r>
                  <m:t>i</m:t>
                </m:r>
              </m:sub>
            </m:sSub>
          </m:e>
        </m:nary>
        <m:sSub>
          <m:e>
            <m:acc>
              <m:accPr>
                <m:chr m:val="̂"/>
              </m:accPr>
              <m:e>
                <m:r>
                  <m:t>Y</m:t>
                </m:r>
              </m:e>
            </m:acc>
          </m:e>
          <m:sub>
            <m:r>
              <m:t>T</m:t>
            </m:r>
            <m:r>
              <m:rPr>
                <m:sty m:val="p"/>
              </m:rPr>
              <m:t>+</m:t>
            </m:r>
            <m:r>
              <m:t>h</m:t>
            </m:r>
            <m:r>
              <m:rPr>
                <m:sty m:val="p"/>
              </m:rPr>
              <m:t>−</m:t>
            </m:r>
            <m:r>
              <m:t>i</m:t>
            </m:r>
            <m:r>
              <m:rPr>
                <m:sty m:val="p"/>
              </m:rPr>
              <m:t>|</m:t>
            </m:r>
            <m:r>
              <m:t>T</m:t>
            </m:r>
          </m:sub>
        </m:sSub>
      </m:oMath>
      <w:r>
        <w:t xml:space="preserve"> </w:t>
      </w:r>
      <w:r>
        <w:t xml:space="preserve">para</w:t>
      </w:r>
      <w:r>
        <w:t xml:space="preserve"> </w:t>
      </w:r>
      <m:oMath>
        <m:r>
          <m:t>h</m:t>
        </m:r>
        <m:r>
          <m:rPr>
            <m:sty m:val="p"/>
          </m:rPr>
          <m:t>=</m:t>
        </m:r>
        <m:r>
          <m:t>1</m:t>
        </m:r>
        <m:r>
          <m:rPr>
            <m:sty m:val="p"/>
          </m:rPr>
          <m:t>,</m:t>
        </m:r>
        <m:r>
          <m:t>2</m:t>
        </m:r>
        <m:r>
          <m:rPr>
            <m:sty m:val="p"/>
          </m:rPr>
          <m:t>,</m:t>
        </m:r>
        <m:r>
          <m:rPr>
            <m:sty m:val="p"/>
          </m:rPr>
          <m:t>…</m:t>
        </m:r>
        <m:r>
          <m:rPr>
            <m:sty m:val="p"/>
          </m:rPr>
          <m:t>,</m:t>
        </m:r>
        <m:r>
          <m:t>H</m:t>
        </m:r>
      </m:oMath>
      <w:r>
        <w:t xml:space="preserve">.</w:t>
      </w:r>
    </w:p>
    <w:p>
      <w:pPr>
        <w:pStyle w:val="Compact"/>
        <w:numPr>
          <w:ilvl w:val="0"/>
          <w:numId w:val="1005"/>
        </w:numPr>
      </w:pPr>
      <w:r>
        <w:rPr>
          <w:b/>
          <w:bCs/>
        </w:rPr>
        <w:t xml:space="preserve">Despacho económico:</w:t>
      </w:r>
      <w:r>
        <w:t xml:space="preserve"> </w:t>
      </w:r>
      <w:r>
        <w:t xml:space="preserve">Los pronósticos de</w:t>
      </w:r>
      <w:r>
        <w:t xml:space="preserve"> </w:t>
      </w:r>
      <m:oMath>
        <m:sSub>
          <m:e>
            <m:r>
              <m:t>D</m:t>
            </m:r>
          </m:e>
          <m:sub>
            <m:r>
              <m:t>t</m:t>
            </m:r>
          </m:sub>
        </m:sSub>
      </m:oMath>
      <w:r>
        <w:t xml:space="preserve">,</w:t>
      </w:r>
      <w:r>
        <w:t xml:space="preserve"> </w:t>
      </w:r>
      <m:oMath>
        <m:sSub>
          <m:e>
            <m:r>
              <m:t>P</m:t>
            </m:r>
          </m:e>
          <m:sub>
            <m:r>
              <m:rPr>
                <m:nor/>
                <m:sty m:val="p"/>
              </m:rPr>
              <m:t>eolica</m:t>
            </m:r>
            <m:r>
              <m:rPr>
                <m:sty m:val="p"/>
              </m:rPr>
              <m:t>,</m:t>
            </m:r>
            <m:r>
              <m:t>t</m:t>
            </m:r>
          </m:sub>
        </m:sSub>
      </m:oMath>
      <w:r>
        <w:t xml:space="preserve"> </w:t>
      </w:r>
      <w:r>
        <w:t xml:space="preserve">(altamente variable) y</w:t>
      </w:r>
      <w:r>
        <w:t xml:space="preserve"> </w:t>
      </w:r>
      <m:oMath>
        <m:sSub>
          <m:e>
            <m:r>
              <m:t>P</m:t>
            </m:r>
          </m:e>
          <m:sub>
            <m:r>
              <m:rPr>
                <m:nor/>
                <m:sty m:val="p"/>
              </m:rPr>
              <m:t>hidro</m:t>
            </m:r>
            <m:r>
              <m:rPr>
                <m:sty m:val="p"/>
              </m:rPr>
              <m:t>,</m:t>
            </m:r>
            <m:r>
              <m:t>t</m:t>
            </m:r>
          </m:sub>
        </m:sSub>
      </m:oMath>
      <w:r>
        <w:t xml:space="preserve"> </w:t>
      </w:r>
      <w:r>
        <w:t xml:space="preserve">(limitada por embalses) alimentan el optimizador de despacho para programar la generación térmica residual y minimizar costos.</w:t>
      </w:r>
    </w:p>
    <w:p>
      <w:pPr>
        <w:pStyle w:val="FirstParagraph"/>
      </w:pPr>
      <w:r>
        <w:rPr>
          <w:b/>
          <w:bCs/>
        </w:rPr>
        <w:t xml:space="preserve">Ventajas del enfoque VAR frente a pronósticos univariados:</w:t>
      </w:r>
    </w:p>
    <w:p>
      <w:pPr>
        <w:pStyle w:val="Compact"/>
        <w:numPr>
          <w:ilvl w:val="0"/>
          <w:numId w:val="1006"/>
        </w:numPr>
      </w:pPr>
      <w:r>
        <w:t xml:space="preserve">Captura la</w:t>
      </w:r>
      <w:r>
        <w:t xml:space="preserve"> </w:t>
      </w:r>
      <w:r>
        <w:rPr>
          <w:b/>
          <w:bCs/>
        </w:rPr>
        <w:t xml:space="preserve">correlación cruzada</w:t>
      </w:r>
      <w:r>
        <w:t xml:space="preserve"> </w:t>
      </w:r>
      <w:r>
        <w:t xml:space="preserve">entre generación eólica y demanda (patrones estacionales, efecto temperatura).</w:t>
      </w:r>
    </w:p>
    <w:p>
      <w:pPr>
        <w:pStyle w:val="Compact"/>
        <w:numPr>
          <w:ilvl w:val="0"/>
          <w:numId w:val="1006"/>
        </w:numPr>
      </w:pPr>
      <w:r>
        <w:t xml:space="preserve">Modela la</w:t>
      </w:r>
      <w:r>
        <w:t xml:space="preserve"> </w:t>
      </w:r>
      <w:r>
        <w:rPr>
          <w:b/>
          <w:bCs/>
        </w:rPr>
        <w:t xml:space="preserve">sustitución dinámica</w:t>
      </w:r>
      <w:r>
        <w:t xml:space="preserve"> </w:t>
      </w:r>
      <w:r>
        <w:t xml:space="preserve">entre fuentes (cuando baja la eólica, sube la hidro o térmica).</w:t>
      </w:r>
    </w:p>
    <w:p>
      <w:pPr>
        <w:pStyle w:val="Compact"/>
        <w:numPr>
          <w:ilvl w:val="0"/>
          <w:numId w:val="1006"/>
        </w:numPr>
      </w:pPr>
      <w:r>
        <w:t xml:space="preserve">Proporciona</w:t>
      </w:r>
      <w:r>
        <w:t xml:space="preserve"> </w:t>
      </w:r>
      <w:r>
        <w:rPr>
          <w:b/>
          <w:bCs/>
        </w:rPr>
        <w:t xml:space="preserve">bandas de confianza conjuntas</w:t>
      </w:r>
      <w:r>
        <w:t xml:space="preserve"> </w:t>
      </w:r>
      <w:r>
        <w:t xml:space="preserve">para escenarios probabilísticos en el despacho estocástico.</w:t>
      </w:r>
    </w:p>
    <w:p>
      <w:pPr>
        <w:pStyle w:val="FirstParagraph"/>
      </w:pPr>
      <w:r>
        <w:t xml:space="preserve">Este enfoque es utilizado en plataformas de analítica predictiva industrial como</w:t>
      </w:r>
      <w:r>
        <w:t xml:space="preserve"> </w:t>
      </w:r>
      <w:r>
        <w:rPr>
          <w:b/>
          <w:bCs/>
        </w:rPr>
        <w:t xml:space="preserve">FactoryTalk Analytics</w:t>
      </w:r>
      <w:r>
        <w:t xml:space="preserve"> </w:t>
      </w:r>
      <w:r>
        <w:t xml:space="preserve">para pronóstico de carga y generación renovable.</w:t>
      </w:r>
    </w:p>
    <w:bookmarkEnd w:id="32"/>
    <w:bookmarkStart w:id="33" w:name="Xafcd38b0dfd07c2bc821eb7795112989652dc04"/>
    <w:p>
      <w:pPr>
        <w:pStyle w:val="Heading4"/>
      </w:pPr>
      <w:r>
        <w:t xml:space="preserve">b) Conclusión dinámica del patrón FIR (caída inmediata y recuperación lenta en 20 s)</w:t>
      </w:r>
    </w:p>
    <w:p>
      <w:pPr>
        <w:pStyle w:val="FirstParagraph"/>
      </w:pPr>
      <w:r>
        <w:t xml:space="preserve">Si al aplicar un shock en</w:t>
      </w:r>
      <w:r>
        <w:t xml:space="preserve"> </w:t>
      </w:r>
      <m:oMath>
        <m:sSub>
          <m:e>
            <m:r>
              <m:t>P</m:t>
            </m:r>
          </m:e>
          <m:sub>
            <m:r>
              <m:t>t</m:t>
            </m:r>
          </m:sub>
        </m:sSub>
      </m:oMath>
      <w:r>
        <w:t xml:space="preserve">, la FIR de</w:t>
      </w:r>
      <w:r>
        <w:t xml:space="preserve"> </w:t>
      </w:r>
      <m:oMath>
        <m:sSub>
          <m:e>
            <m:r>
              <m:t>f</m:t>
            </m:r>
          </m:e>
          <m:sub>
            <m:r>
              <m:t>t</m:t>
            </m:r>
          </m:sub>
        </m:sSub>
      </m:oMath>
      <w:r>
        <w:t xml:space="preserve"> </w:t>
      </w:r>
      <w:r>
        <w:t xml:space="preserve">muestra:</w:t>
      </w:r>
    </w:p>
    <w:p>
      <w:pPr>
        <w:pStyle w:val="Compact"/>
        <w:numPr>
          <w:ilvl w:val="0"/>
          <w:numId w:val="1007"/>
        </w:numPr>
      </w:pPr>
      <w:r>
        <w:rPr>
          <w:b/>
          <w:bCs/>
        </w:rPr>
        <w:t xml:space="preserve">Caída inmediata</w:t>
      </w:r>
      <w:r>
        <w:t xml:space="preserve"> </w:t>
      </w:r>
      <w:r>
        <w:t xml:space="preserve">en</w:t>
      </w:r>
      <w:r>
        <w:t xml:space="preserve"> </w:t>
      </w:r>
      <m:oMath>
        <m:r>
          <m:t>h</m:t>
        </m:r>
        <m:r>
          <m:rPr>
            <m:sty m:val="p"/>
          </m:rPr>
          <m:t>=</m:t>
        </m:r>
        <m:r>
          <m:t>0</m:t>
        </m:r>
      </m:oMath>
      <w:r>
        <w:t xml:space="preserve"> </w:t>
      </w:r>
      <w:r>
        <w:t xml:space="preserve">o</w:t>
      </w:r>
      <w:r>
        <w:t xml:space="preserve"> </w:t>
      </w:r>
      <m:oMath>
        <m:r>
          <m:t>h</m:t>
        </m:r>
        <m:r>
          <m:rPr>
            <m:sty m:val="p"/>
          </m:rPr>
          <m:t>=</m:t>
        </m:r>
        <m:r>
          <m:t>1</m:t>
        </m:r>
      </m:oMath>
      <w:r>
        <w:t xml:space="preserve">: respuesta instantánea de la frecuencia al cambio de potencia activa.</w:t>
      </w:r>
    </w:p>
    <w:p>
      <w:pPr>
        <w:pStyle w:val="Compact"/>
        <w:numPr>
          <w:ilvl w:val="0"/>
          <w:numId w:val="1007"/>
        </w:numPr>
      </w:pPr>
      <w:r>
        <w:rPr>
          <w:b/>
          <w:bCs/>
        </w:rPr>
        <w:t xml:space="preserve">Recuperación lenta</w:t>
      </w:r>
      <w:r>
        <w:t xml:space="preserve"> </w:t>
      </w:r>
      <w:r>
        <w:t xml:space="preserve">extendida hasta 20 segundos sin retorno completo al equilibrio.</w:t>
      </w:r>
    </w:p>
    <w:p>
      <w:pPr>
        <w:pStyle w:val="FirstParagraph"/>
      </w:pPr>
      <w:r>
        <w:rPr>
          <w:b/>
          <w:bCs/>
        </w:rPr>
        <w:t xml:space="preserve">Conclusiones dinámicas:</w:t>
      </w:r>
    </w:p>
    <w:p>
      <w:pPr>
        <w:numPr>
          <w:ilvl w:val="0"/>
          <w:numId w:val="1008"/>
        </w:numPr>
      </w:pPr>
      <w:r>
        <w:rPr>
          <w:b/>
          <w:bCs/>
        </w:rPr>
        <w:t xml:space="preserve">Acoplamiento activo potencia-frecuencia:</w:t>
      </w:r>
      <w:r>
        <w:t xml:space="preserve"> </w:t>
      </w:r>
      <w:r>
        <w:t xml:space="preserve">Existe una vía dinámica directa entre potencia activa y frecuencia, coherente con la ecuación de swing:</w:t>
      </w:r>
      <w:r>
        <w:t xml:space="preserve"> </w:t>
      </w:r>
      <m:oMath>
        <m:acc>
          <m:accPr>
            <m:chr m:val="̇"/>
          </m:accPr>
          <m:e>
            <m:r>
              <m:t>f</m:t>
            </m:r>
          </m:e>
        </m:acc>
        <m:r>
          <m:rPr>
            <m:sty m:val="p"/>
          </m:rPr>
          <m:t>∝</m:t>
        </m:r>
        <m:r>
          <m:rPr>
            <m:sty m:val="p"/>
          </m:rPr>
          <m:t>(</m:t>
        </m:r>
        <m:sSub>
          <m:e>
            <m:r>
              <m:t>P</m:t>
            </m:r>
          </m:e>
          <m:sub>
            <m:r>
              <m:t>m</m:t>
            </m:r>
          </m:sub>
        </m:sSub>
        <m:r>
          <m:rPr>
            <m:sty m:val="p"/>
          </m:rPr>
          <m:t>−</m:t>
        </m:r>
        <m:sSub>
          <m:e>
            <m:r>
              <m:t>P</m:t>
            </m:r>
          </m:e>
          <m:sub>
            <m:r>
              <m:t>e</m:t>
            </m:r>
          </m:sub>
        </m:sSub>
        <m:r>
          <m:rPr>
            <m:sty m:val="p"/>
          </m:rPr>
          <m:t>)</m:t>
        </m:r>
      </m:oMath>
      <w:r>
        <w:t xml:space="preserve">.</w:t>
      </w:r>
    </w:p>
    <w:p>
      <w:pPr>
        <w:numPr>
          <w:ilvl w:val="0"/>
          <w:numId w:val="1008"/>
        </w:numPr>
      </w:pPr>
      <w:r>
        <w:rPr>
          <w:b/>
          <w:bCs/>
        </w:rPr>
        <w:t xml:space="preserve">Sistema con inercia significativa pero amortiguamiento insuficiente:</w:t>
      </w:r>
      <w:r>
        <w:t xml:space="preserve"> </w:t>
      </w:r>
      <w:r>
        <w:t xml:space="preserve">La caída inmediata indica respuesta rápida del sistema a desbalances de potencia. La recuperación lenta (20 s sin convergencia) sugiere que los mecanismos de control de frecuencia (regulación primaria con constante</w:t>
      </w:r>
      <w:r>
        <w:t xml:space="preserve"> </w:t>
      </w:r>
      <m:oMath>
        <m:r>
          <m:t>R</m:t>
        </m:r>
      </m:oMath>
      <w:r>
        <w:t xml:space="preserve"> </w:t>
      </w:r>
      <w:r>
        <w:t xml:space="preserve">elevada, o regulación secundaria lenta) no restablecen el equilibrio con rapidez.</w:t>
      </w:r>
    </w:p>
    <w:p>
      <w:pPr>
        <w:numPr>
          <w:ilvl w:val="0"/>
          <w:numId w:val="1008"/>
        </w:numPr>
      </w:pPr>
      <w:r>
        <w:rPr>
          <w:b/>
          <w:bCs/>
        </w:rPr>
        <w:t xml:space="preserve">Persistencia transitoria prolongada:</w:t>
      </w:r>
      <w:r>
        <w:t xml:space="preserve"> </w:t>
      </w:r>
      <w:r>
        <w:t xml:space="preserve">El efecto no es permanente (no es un cambio de régimen), pero la</w:t>
      </w:r>
      <w:r>
        <w:t xml:space="preserve"> </w:t>
      </w:r>
      <w:r>
        <w:rPr>
          <w:b/>
          <w:bCs/>
        </w:rPr>
        <w:t xml:space="preserve">constante de tiempo</w:t>
      </w:r>
      <w:r>
        <w:t xml:space="preserve"> </w:t>
      </w:r>
      <w:r>
        <w:t xml:space="preserve">del sistema es grande (</w:t>
      </w:r>
      <m:oMath>
        <m:r>
          <m:t>τ</m:t>
        </m:r>
        <m:r>
          <m:rPr>
            <m:sty m:val="p"/>
          </m:rPr>
          <m:t>≫</m:t>
        </m:r>
        <m:r>
          <m:t>1</m:t>
        </m:r>
      </m:oMath>
      <w:r>
        <w:t xml:space="preserve"> </w:t>
      </w:r>
      <w:r>
        <w:t xml:space="preserve">s), lo que implica riesgo de activación de protecciones de df/dt o under-frequency load shedding si el shock es suficientemente grande.</w:t>
      </w:r>
    </w:p>
    <w:p>
      <w:pPr>
        <w:numPr>
          <w:ilvl w:val="0"/>
          <w:numId w:val="1008"/>
        </w:numPr>
      </w:pPr>
      <w:r>
        <w:rPr>
          <w:b/>
          <w:bCs/>
        </w:rPr>
        <w:t xml:space="preserve">Recomendación operativa:</w:t>
      </w:r>
      <w:r>
        <w:t xml:space="preserve"> </w:t>
      </w:r>
      <w:r>
        <w:t xml:space="preserve">Evaluar el ajuste de los reguladores de velocidad (gobernadores) y la respuesta del AGV (Automatic Generation Control) para reducir el tiempo de settling por debajo de los límites normativos (típicamente</w:t>
      </w:r>
      <w:r>
        <w:t xml:space="preserve"> </w:t>
      </w:r>
      <m:oMath>
        <m:r>
          <m:rPr>
            <m:sty m:val="p"/>
          </m:rPr>
          <m:t>&lt;</m:t>
        </m:r>
        <m:r>
          <m:t>10</m:t>
        </m:r>
      </m:oMath>
      <w:r>
        <w:t xml:space="preserve"> </w:t>
      </w:r>
      <w:r>
        <w:t xml:space="preserve">s para regulación primaria completa).</w:t>
      </w:r>
    </w:p>
    <w:bookmarkEnd w:id="33"/>
    <w:bookmarkStart w:id="34" w:name="X0f7fc2f5d94d392b1844c39482d837a79acb4cc"/>
    <w:p>
      <w:pPr>
        <w:pStyle w:val="Heading4"/>
      </w:pPr>
      <w:r>
        <w:t xml:space="preserve">c) Análisis del VAR(1) del generador síncrono</w:t>
      </w:r>
    </w:p>
    <w:p>
      <w:pPr>
        <w:pStyle w:val="FirstParagraph"/>
      </w:pPr>
      <w:r>
        <w:t xml:space="preserve">Sistema dado:</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f</m:t>
                        </m:r>
                      </m:e>
                      <m:sub>
                        <m:r>
                          <m:t>t</m:t>
                        </m:r>
                      </m:sub>
                    </m:sSub>
                  </m:e>
                </m:mr>
                <m:mr>
                  <m:e>
                    <m:sSub>
                      <m:e>
                        <m:r>
                          <m:t>P</m:t>
                        </m:r>
                      </m:e>
                      <m:sub>
                        <m:r>
                          <m:t>t</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5</m:t>
                    </m:r>
                  </m:e>
                  <m:e>
                    <m:r>
                      <m:rPr>
                        <m:sty m:val="p"/>
                      </m:rPr>
                      <m:t>−</m:t>
                    </m:r>
                    <m:r>
                      <m:t>0</m:t>
                    </m:r>
                    <m:r>
                      <m:rPr>
                        <m:sty m:val="p"/>
                      </m:rPr>
                      <m:t>,</m:t>
                    </m:r>
                    <m:r>
                      <m:t>2</m:t>
                    </m:r>
                  </m:e>
                </m:mr>
                <m:mr>
                  <m:e>
                    <m:r>
                      <m:t>0</m:t>
                    </m:r>
                    <m:r>
                      <m:rPr>
                        <m:sty m:val="p"/>
                      </m:rPr>
                      <m:t>,</m:t>
                    </m:r>
                    <m:r>
                      <m:t>1</m:t>
                    </m:r>
                  </m:e>
                  <m:e>
                    <m:r>
                      <m:t>0</m:t>
                    </m:r>
                    <m:r>
                      <m:rPr>
                        <m:sty m:val="p"/>
                      </m:rPr>
                      <m:t>,</m:t>
                    </m:r>
                    <m:r>
                      <m:t>8</m:t>
                    </m:r>
                  </m:e>
                </m:mr>
              </m:m>
            </m:e>
          </m:d>
          <m:d>
            <m:dPr>
              <m:begChr m:val="["/>
              <m:sepChr m:val=""/>
              <m:endChr m:val="]"/>
              <m:grow/>
            </m:dPr>
            <m:e>
              <m:m>
                <m:mPr>
                  <m:baseJc m:val="center"/>
                  <m:plcHide m:val="on"/>
                  <m:mcs>
                    <m:mc>
                      <m:mcPr>
                        <m:mcJc m:val="center"/>
                        <m:count m:val="1"/>
                      </m:mcPr>
                    </m:mc>
                  </m:mcs>
                </m:mPr>
                <m:mr>
                  <m:e>
                    <m:sSub>
                      <m:e>
                        <m:r>
                          <m:t>f</m:t>
                        </m:r>
                      </m:e>
                      <m:sub>
                        <m:r>
                          <m:t>t</m:t>
                        </m:r>
                        <m:r>
                          <m:rPr>
                            <m:sty m:val="p"/>
                          </m:rPr>
                          <m:t>−</m:t>
                        </m:r>
                        <m:r>
                          <m:t>1</m:t>
                        </m:r>
                      </m:sub>
                    </m:sSub>
                  </m:e>
                </m:mr>
                <m:mr>
                  <m:e>
                    <m:sSub>
                      <m:e>
                        <m:r>
                          <m:t>P</m:t>
                        </m:r>
                      </m:e>
                      <m:sub>
                        <m:r>
                          <m:t>t</m:t>
                        </m:r>
                        <m:r>
                          <m:rPr>
                            <m:sty m:val="p"/>
                          </m:rPr>
                          <m:t>−</m:t>
                        </m:r>
                        <m:r>
                          <m:t>1</m:t>
                        </m:r>
                      </m:sub>
                    </m:sSub>
                  </m:e>
                </m:mr>
              </m:m>
            </m:e>
          </m:d>
          <m:r>
            <m:rPr>
              <m:sty m:val="p"/>
            </m:rPr>
            <m:t>+</m:t>
          </m:r>
          <m:d>
            <m:dPr>
              <m:begChr m:val="["/>
              <m:sepChr m:val=""/>
              <m:endChr m:val="]"/>
              <m:grow/>
            </m:dPr>
            <m:e>
              <m:m>
                <m:mPr>
                  <m:baseJc m:val="center"/>
                  <m:plcHide m:val="on"/>
                  <m:mcs>
                    <m:mc>
                      <m:mcPr>
                        <m:mcJc m:val="center"/>
                        <m:count m:val="1"/>
                      </m:mcPr>
                    </m:mc>
                  </m:mcs>
                </m:mPr>
                <m:mr>
                  <m:e>
                    <m:sSub>
                      <m:e>
                        <m:r>
                          <m:t>ε</m:t>
                        </m:r>
                      </m:e>
                      <m:sub>
                        <m:r>
                          <m:t>1</m:t>
                        </m:r>
                        <m:r>
                          <m:t>t</m:t>
                        </m:r>
                      </m:sub>
                    </m:sSub>
                  </m:e>
                </m:mr>
                <m:mr>
                  <m:e>
                    <m:sSub>
                      <m:e>
                        <m:r>
                          <m:t>ε</m:t>
                        </m:r>
                      </m:e>
                      <m:sub>
                        <m:r>
                          <m:t>2</m:t>
                        </m:r>
                        <m:r>
                          <m:t>t</m:t>
                        </m:r>
                      </m:sub>
                    </m:sSub>
                  </m:e>
                </m:mr>
              </m:m>
            </m:e>
          </m:d>
        </m:oMath>
      </m:oMathPara>
    </w:p>
    <w:p>
      <w:pPr>
        <w:pStyle w:val="FirstParagraph"/>
      </w:pPr>
      <w:r>
        <w:rPr>
          <w:b/>
          <w:bCs/>
        </w:rPr>
        <w:t xml:space="preserve">Efecto de</w:t>
      </w:r>
      <w:r>
        <w:rPr>
          <w:b/>
          <w:bCs/>
        </w:rPr>
        <w:t xml:space="preserve"> </w:t>
      </w:r>
      <m:oMath>
        <m:sSub>
          <m:e>
            <m:r>
              <m:t>P</m:t>
            </m:r>
          </m:e>
          <m:sub>
            <m:r>
              <m:t>t</m:t>
            </m:r>
            <m:r>
              <m:rPr>
                <m:sty m:val="p"/>
              </m:rPr>
              <m:t>−</m:t>
            </m:r>
            <m:r>
              <m:t>1</m:t>
            </m:r>
          </m:sub>
        </m:sSub>
      </m:oMath>
      <w:r>
        <w:rPr>
          <w:b/>
          <w:bCs/>
        </w:rPr>
        <w:t xml:space="preserve"> </w:t>
      </w:r>
      <w:r>
        <w:rPr>
          <w:b/>
          <w:bCs/>
        </w:rPr>
        <w:t xml:space="preserve">sobre</w:t>
      </w:r>
      <w:r>
        <w:rPr>
          <w:b/>
          <w:bCs/>
        </w:rPr>
        <w:t xml:space="preserve"> </w:t>
      </w:r>
      <m:oMath>
        <m:sSub>
          <m:e>
            <m:r>
              <m:t>f</m:t>
            </m:r>
          </m:e>
          <m:sub>
            <m:r>
              <m:t>t</m:t>
            </m:r>
          </m:sub>
        </m:sSub>
      </m:oMath>
      <w:r>
        <w:rPr>
          <w:b/>
          <w:bCs/>
        </w:rPr>
        <w:t xml:space="preserve">:</w:t>
      </w:r>
    </w:p>
    <w:p>
      <w:pPr>
        <w:pStyle w:val="BodyText"/>
      </w:pPr>
      <w:r>
        <w:t xml:space="preserve">De la primera ecuación:</w:t>
      </w:r>
    </w:p>
    <w:p>
      <w:pPr>
        <w:pStyle w:val="BodyText"/>
      </w:pPr>
      <m:oMathPara>
        <m:oMathParaPr>
          <m:jc m:val="center"/>
        </m:oMathParaPr>
        <m:oMath>
          <m:sSub>
            <m:e>
              <m:r>
                <m:t>f</m:t>
              </m:r>
            </m:e>
            <m:sub>
              <m:r>
                <m:t>t</m:t>
              </m:r>
            </m:sub>
          </m:sSub>
          <m:r>
            <m:rPr>
              <m:sty m:val="p"/>
            </m:rPr>
            <m:t>=</m:t>
          </m:r>
          <m:r>
            <m:t>0</m:t>
          </m:r>
          <m:r>
            <m:rPr>
              <m:sty m:val="p"/>
            </m:rPr>
            <m:t>,</m:t>
          </m:r>
          <m:r>
            <m:t>5</m:t>
          </m:r>
          <m:r>
            <m:t> </m:t>
          </m:r>
          <m:sSub>
            <m:e>
              <m:r>
                <m:t>f</m:t>
              </m:r>
            </m:e>
            <m:sub>
              <m:r>
                <m:t>t</m:t>
              </m:r>
              <m:r>
                <m:rPr>
                  <m:sty m:val="p"/>
                </m:rPr>
                <m:t>−</m:t>
              </m:r>
              <m:r>
                <m:t>1</m:t>
              </m:r>
            </m:sub>
          </m:sSub>
          <m:r>
            <m:rPr>
              <m:sty m:val="p"/>
            </m:rPr>
            <m:t>−</m:t>
          </m:r>
          <m:r>
            <m:t>0</m:t>
          </m:r>
          <m:r>
            <m:rPr>
              <m:sty m:val="p"/>
            </m:rPr>
            <m:t>,</m:t>
          </m:r>
          <m:r>
            <m:t>2</m:t>
          </m:r>
          <m:r>
            <m:t> </m:t>
          </m:r>
          <m:sSub>
            <m:e>
              <m:r>
                <m:t>P</m:t>
              </m:r>
            </m:e>
            <m:sub>
              <m:r>
                <m:t>t</m:t>
              </m:r>
              <m:r>
                <m:rPr>
                  <m:sty m:val="p"/>
                </m:rPr>
                <m:t>−</m:t>
              </m:r>
              <m:r>
                <m:t>1</m:t>
              </m:r>
            </m:sub>
          </m:sSub>
          <m:r>
            <m:rPr>
              <m:sty m:val="p"/>
            </m:rPr>
            <m:t>+</m:t>
          </m:r>
          <m:sSub>
            <m:e>
              <m:r>
                <m:t>ε</m:t>
              </m:r>
            </m:e>
            <m:sub>
              <m:r>
                <m:t>1</m:t>
              </m:r>
              <m:r>
                <m:t>t</m:t>
              </m:r>
            </m:sub>
          </m:sSub>
        </m:oMath>
      </m:oMathPara>
    </w:p>
    <w:p>
      <w:pPr>
        <w:pStyle w:val="FirstParagraph"/>
      </w:pPr>
      <w:r>
        <w:t xml:space="preserve">El coeficiente de</w:t>
      </w:r>
      <w:r>
        <w:t xml:space="preserve"> </w:t>
      </w:r>
      <m:oMath>
        <m:sSub>
          <m:e>
            <m:r>
              <m:t>P</m:t>
            </m:r>
          </m:e>
          <m:sub>
            <m:r>
              <m:t>t</m:t>
            </m:r>
            <m:r>
              <m:rPr>
                <m:sty m:val="p"/>
              </m:rPr>
              <m:t>−</m:t>
            </m:r>
            <m:r>
              <m:t>1</m:t>
            </m:r>
          </m:sub>
        </m:sSub>
      </m:oMath>
      <w:r>
        <w:t xml:space="preserve"> </w:t>
      </w:r>
      <w:r>
        <w:t xml:space="preserve">es</w:t>
      </w:r>
      <w:r>
        <w:t xml:space="preserve"> </w:t>
      </w:r>
      <m:oMath>
        <m:r>
          <m:rPr>
            <m:sty m:val="p"/>
          </m:rPr>
          <m:t>−</m:t>
        </m:r>
        <m:r>
          <m:t>0</m:t>
        </m:r>
        <m:r>
          <m:rPr>
            <m:sty m:val="p"/>
          </m:rPr>
          <m:t>,</m:t>
        </m:r>
        <m:r>
          <m:t>2</m:t>
        </m:r>
      </m:oMath>
      <w:r>
        <w:t xml:space="preserve">. Un aumento unitario en la potencia activa pasada provoca una</w:t>
      </w:r>
      <w:r>
        <w:t xml:space="preserve"> </w:t>
      </w:r>
      <w:r>
        <w:rPr>
          <w:b/>
          <w:bCs/>
        </w:rPr>
        <w:t xml:space="preserve">disminución de 0,2 unidades</w:t>
      </w:r>
      <w:r>
        <w:t xml:space="preserve"> </w:t>
      </w:r>
      <w:r>
        <w:t xml:space="preserve">en la frecuencia actual, controlando por la frecuencia pasada.</w:t>
      </w:r>
    </w:p>
    <w:p>
      <w:pPr>
        <w:pStyle w:val="BodyText"/>
      </w:pPr>
      <w:r>
        <w:rPr>
          <w:b/>
          <w:bCs/>
        </w:rPr>
        <w:t xml:space="preserve">Interpretación física:</w:t>
      </w:r>
      <w:r>
        <w:t xml:space="preserve"> </w:t>
      </w:r>
      <w:r>
        <w:t xml:space="preserve">Un incremento en la potencia mecánica inyectada al generador (o reducción de la carga eléctrica) tiende a</w:t>
      </w:r>
      <w:r>
        <w:t xml:space="preserve"> </w:t>
      </w:r>
      <w:r>
        <w:rPr>
          <w:b/>
          <w:bCs/>
        </w:rPr>
        <w:t xml:space="preserve">acelerar</w:t>
      </w:r>
      <w:r>
        <w:t xml:space="preserve"> </w:t>
      </w:r>
      <w:r>
        <w:t xml:space="preserve">el rotor, lo que en la convención del modelo se traduce en una reducción de</w:t>
      </w:r>
      <w:r>
        <w:t xml:space="preserve"> </w:t>
      </w:r>
      <m:oMath>
        <m:sSub>
          <m:e>
            <m:r>
              <m:t>f</m:t>
            </m:r>
          </m:e>
          <m:sub>
            <m:r>
              <m:t>t</m:t>
            </m:r>
          </m:sub>
        </m:sSub>
      </m:oMath>
      <w:r>
        <w:t xml:space="preserve"> </w:t>
      </w:r>
      <w:r>
        <w:t xml:space="preserve">con signo negativo — dependiendo de la convención de signos adoptada en el enunciado. En cualquier caso, existe acoplamiento dinámico significativo entre potencia y frecuencia con rezago de un periodo.</w:t>
      </w:r>
    </w:p>
    <w:p>
      <w:pPr>
        <w:pStyle w:val="BodyText"/>
      </w:pPr>
      <w:r>
        <w:rPr>
          <w:b/>
          <w:bCs/>
        </w:rPr>
        <w:t xml:space="preserve">Estabilidad del sistema — Autovalores de</w:t>
      </w:r>
      <w:r>
        <w:rPr>
          <w:b/>
          <w:bCs/>
        </w:rPr>
        <w:t xml:space="preserve"> </w:t>
      </w:r>
      <m:oMath>
        <m:sSub>
          <m:e>
            <m:r>
              <m:t>A</m:t>
            </m:r>
          </m:e>
          <m:sub>
            <m:r>
              <m:t>1</m:t>
            </m:r>
          </m:sub>
        </m:sSub>
      </m:oMath>
      <w:r>
        <w:rPr>
          <w:b/>
          <w:bCs/>
        </w:rPr>
        <w:t xml:space="preserve">:</w:t>
      </w:r>
    </w:p>
    <w:p>
      <w:pPr>
        <w:pStyle w:val="BodyText"/>
      </w:pPr>
      <m:oMathPara>
        <m:oMathParaPr>
          <m:jc m:val="center"/>
        </m:oMathParaPr>
        <m:oMath>
          <m:r>
            <m:rPr>
              <m:sty m:val="p"/>
            </m:rPr>
            <m:t>det</m:t>
          </m:r>
          <m:r>
            <m:rPr>
              <m:sty m:val="p"/>
            </m:rPr>
            <m:t>(</m:t>
          </m:r>
          <m:sSub>
            <m:e>
              <m:r>
                <m:t>A</m:t>
              </m:r>
            </m:e>
            <m:sub>
              <m:r>
                <m:t>1</m:t>
              </m:r>
            </m:sub>
          </m:sSub>
          <m:r>
            <m:rPr>
              <m:sty m:val="p"/>
            </m:rPr>
            <m:t>−</m:t>
          </m:r>
          <m:r>
            <m:t>λ</m:t>
          </m:r>
          <m:r>
            <m:t>I</m:t>
          </m:r>
          <m:r>
            <m:rPr>
              <m:sty m:val="p"/>
            </m:rPr>
            <m:t>)</m:t>
          </m:r>
          <m:r>
            <m:rPr>
              <m:sty m:val="p"/>
            </m:rPr>
            <m:t>=</m:t>
          </m:r>
          <m:r>
            <m:rPr>
              <m:sty m:val="p"/>
            </m:rPr>
            <m:t>(</m:t>
          </m:r>
          <m:r>
            <m:t>0</m:t>
          </m:r>
          <m:r>
            <m:rPr>
              <m:sty m:val="p"/>
            </m:rPr>
            <m:t>,</m:t>
          </m:r>
          <m:r>
            <m:t>5</m:t>
          </m:r>
          <m:r>
            <m:rPr>
              <m:sty m:val="p"/>
            </m:rPr>
            <m:t>−</m:t>
          </m:r>
          <m:r>
            <m:t>λ</m:t>
          </m:r>
          <m:r>
            <m:rPr>
              <m:sty m:val="p"/>
            </m:rPr>
            <m:t>)</m:t>
          </m:r>
          <m:r>
            <m:rPr>
              <m:sty m:val="p"/>
            </m:rPr>
            <m:t>(</m:t>
          </m:r>
          <m:r>
            <m:t>0</m:t>
          </m:r>
          <m:r>
            <m:rPr>
              <m:sty m:val="p"/>
            </m:rPr>
            <m:t>,</m:t>
          </m:r>
          <m:r>
            <m:t>8</m:t>
          </m:r>
          <m:r>
            <m:rPr>
              <m:sty m:val="p"/>
            </m:rPr>
            <m:t>−</m:t>
          </m:r>
          <m:r>
            <m:t>λ</m:t>
          </m:r>
          <m:r>
            <m:rPr>
              <m:sty m:val="p"/>
            </m:rPr>
            <m:t>)</m:t>
          </m:r>
          <m:r>
            <m:rPr>
              <m:sty m:val="p"/>
            </m:rPr>
            <m:t>−</m:t>
          </m:r>
          <m:r>
            <m:rPr>
              <m:sty m:val="p"/>
            </m:rPr>
            <m:t>(</m:t>
          </m:r>
          <m:r>
            <m:t>0</m:t>
          </m:r>
          <m:r>
            <m:rPr>
              <m:sty m:val="p"/>
            </m:rPr>
            <m:t>,</m:t>
          </m:r>
          <m:r>
            <m:t>1</m:t>
          </m:r>
          <m:r>
            <m:rPr>
              <m:sty m:val="p"/>
            </m:rPr>
            <m:t>)</m:t>
          </m:r>
          <m:r>
            <m:rPr>
              <m:sty m:val="p"/>
            </m:rPr>
            <m:t>(</m:t>
          </m:r>
          <m:r>
            <m:rPr>
              <m:sty m:val="p"/>
            </m:rPr>
            <m:t>−</m:t>
          </m:r>
          <m:r>
            <m:t>0</m:t>
          </m:r>
          <m:r>
            <m:rPr>
              <m:sty m:val="p"/>
            </m:rPr>
            <m:t>,</m:t>
          </m:r>
          <m:r>
            <m:t>2</m:t>
          </m:r>
          <m:r>
            <m:rPr>
              <m:sty m:val="p"/>
            </m:rPr>
            <m:t>)</m:t>
          </m:r>
          <m:r>
            <m:rPr>
              <m:sty m:val="p"/>
            </m:rPr>
            <m:t>=</m:t>
          </m:r>
          <m:r>
            <m:t>0</m:t>
          </m:r>
        </m:oMath>
      </m:oMathPara>
    </w:p>
    <w:p>
      <w:pPr>
        <w:pStyle w:val="FirstParagraph"/>
      </w:pPr>
      <m:oMathPara>
        <m:oMathParaPr>
          <m:jc m:val="center"/>
        </m:oMathParaPr>
        <m:oMath>
          <m:sSup>
            <m:e>
              <m:r>
                <m:t>λ</m:t>
              </m:r>
            </m:e>
            <m:sup>
              <m:r>
                <m:t>2</m:t>
              </m:r>
            </m:sup>
          </m:sSup>
          <m:r>
            <m:rPr>
              <m:sty m:val="p"/>
            </m:rPr>
            <m:t>−</m:t>
          </m:r>
          <m:r>
            <m:t>1</m:t>
          </m:r>
          <m:r>
            <m:rPr>
              <m:sty m:val="p"/>
            </m:rPr>
            <m:t>,</m:t>
          </m:r>
          <m:r>
            <m:t>3</m:t>
          </m:r>
          <m:r>
            <m:t>λ</m:t>
          </m:r>
          <m:r>
            <m:rPr>
              <m:sty m:val="p"/>
            </m:rPr>
            <m:t>+</m:t>
          </m:r>
          <m:r>
            <m:t>0</m:t>
          </m:r>
          <m:r>
            <m:rPr>
              <m:sty m:val="p"/>
            </m:rPr>
            <m:t>,</m:t>
          </m:r>
          <m:r>
            <m:t>42</m:t>
          </m:r>
          <m:r>
            <m:rPr>
              <m:sty m:val="p"/>
            </m:rPr>
            <m:t>=</m:t>
          </m:r>
          <m:r>
            <m:t>0</m:t>
          </m:r>
        </m:oMath>
      </m:oMathPara>
    </w:p>
    <w:p>
      <w:pPr>
        <w:pStyle w:val="FirstParagraph"/>
      </w:pPr>
      <m:oMathPara>
        <m:oMathParaPr>
          <m:jc m:val="center"/>
        </m:oMathParaPr>
        <m:oMath>
          <m:r>
            <m:t>λ</m:t>
          </m:r>
          <m:r>
            <m:rPr>
              <m:sty m:val="p"/>
            </m:rPr>
            <m:t>=</m:t>
          </m:r>
          <m:f>
            <m:fPr>
              <m:type m:val="bar"/>
            </m:fPr>
            <m:num>
              <m:r>
                <m:t>1</m:t>
              </m:r>
              <m:r>
                <m:rPr>
                  <m:sty m:val="p"/>
                </m:rPr>
                <m:t>,</m:t>
              </m:r>
              <m:r>
                <m:t>3</m:t>
              </m:r>
              <m:r>
                <m:rPr>
                  <m:sty m:val="p"/>
                </m:rPr>
                <m:t>±</m:t>
              </m:r>
              <m:rad>
                <m:radPr>
                  <m:degHide m:val="on"/>
                </m:radPr>
                <m:deg/>
                <m:e>
                  <m:r>
                    <m:t>1</m:t>
                  </m:r>
                  <m:r>
                    <m:rPr>
                      <m:sty m:val="p"/>
                    </m:rPr>
                    <m:t>,</m:t>
                  </m:r>
                  <m:r>
                    <m:t>69</m:t>
                  </m:r>
                  <m:r>
                    <m:rPr>
                      <m:sty m:val="p"/>
                    </m:rPr>
                    <m:t>−</m:t>
                  </m:r>
                  <m:r>
                    <m:t>1</m:t>
                  </m:r>
                  <m:r>
                    <m:rPr>
                      <m:sty m:val="p"/>
                    </m:rPr>
                    <m:t>,</m:t>
                  </m:r>
                  <m:r>
                    <m:t>68</m:t>
                  </m:r>
                </m:e>
              </m:rad>
            </m:num>
            <m:den>
              <m:r>
                <m:t>2</m:t>
              </m:r>
            </m:den>
          </m:f>
          <m:r>
            <m:rPr>
              <m:sty m:val="p"/>
            </m:rPr>
            <m:t>=</m:t>
          </m:r>
          <m:f>
            <m:fPr>
              <m:type m:val="bar"/>
            </m:fPr>
            <m:num>
              <m:r>
                <m:t>1</m:t>
              </m:r>
              <m:r>
                <m:rPr>
                  <m:sty m:val="p"/>
                </m:rPr>
                <m:t>,</m:t>
              </m:r>
              <m:r>
                <m:t>3</m:t>
              </m:r>
              <m:r>
                <m:rPr>
                  <m:sty m:val="p"/>
                </m:rPr>
                <m:t>±</m:t>
              </m:r>
              <m:r>
                <m:t>0</m:t>
              </m:r>
              <m:r>
                <m:rPr>
                  <m:sty m:val="p"/>
                </m:rPr>
                <m:t>,</m:t>
              </m:r>
              <m:r>
                <m:t>1</m:t>
              </m:r>
            </m:num>
            <m:den>
              <m:r>
                <m:t>2</m:t>
              </m:r>
            </m:den>
          </m:f>
        </m:oMath>
      </m:oMathPara>
    </w:p>
    <w:p>
      <w:pPr>
        <w:pStyle w:val="FirstParagraph"/>
      </w:pPr>
      <m:oMathPara>
        <m:oMathParaPr>
          <m:jc m:val="center"/>
        </m:oMathParaPr>
        <m:oMath>
          <m:sSub>
            <m:e>
              <m:r>
                <m:t>λ</m:t>
              </m:r>
            </m:e>
            <m:sub>
              <m:r>
                <m:t>1</m:t>
              </m:r>
            </m:sub>
          </m:sSub>
          <m:r>
            <m:rPr>
              <m:sty m:val="p"/>
            </m:rPr>
            <m:t>=</m:t>
          </m:r>
          <m:r>
            <m:t>0</m:t>
          </m:r>
          <m:r>
            <m:rPr>
              <m:sty m:val="p"/>
            </m:rPr>
            <m:t>,</m:t>
          </m:r>
          <m:r>
            <m:t>7</m:t>
          </m:r>
          <m:r>
            <m:rPr>
              <m:sty m:val="p"/>
            </m:rPr>
            <m:t>,</m:t>
          </m:r>
          <m:r>
            <m:t> </m:t>
          </m:r>
          <m:sSub>
            <m:e>
              <m:r>
                <m:t>λ</m:t>
              </m:r>
            </m:e>
            <m:sub>
              <m:r>
                <m:t>2</m:t>
              </m:r>
            </m:sub>
          </m:sSub>
          <m:r>
            <m:rPr>
              <m:sty m:val="p"/>
            </m:rPr>
            <m:t>=</m:t>
          </m:r>
          <m:r>
            <m:t>0</m:t>
          </m:r>
          <m:r>
            <m:rPr>
              <m:sty m:val="p"/>
            </m:rPr>
            <m:t>,</m:t>
          </m:r>
          <m:r>
            <m:t>6</m:t>
          </m:r>
        </m:oMath>
      </m:oMathPara>
    </w:p>
    <w:p>
      <w:pPr>
        <w:pStyle w:val="FirstParagraph"/>
      </w:pPr>
      <w:r>
        <w:rPr>
          <w:b/>
          <w:bCs/>
        </w:rPr>
        <w:t xml:space="preserve">Conclusión de estabilidad:</w:t>
      </w:r>
      <w:r>
        <w:t xml:space="preserve"> </w:t>
      </w:r>
      <w:r>
        <w:t xml:space="preserve">Ambos autovalores cumplen</w:t>
      </w:r>
      <w:r>
        <w:t xml:space="preserve"> </w:t>
      </w:r>
      <m:oMath>
        <m:r>
          <m:rPr>
            <m:sty m:val="p"/>
          </m:rPr>
          <m:t>|</m:t>
        </m:r>
        <m:sSub>
          <m:e>
            <m:r>
              <m:t>λ</m:t>
            </m:r>
          </m:e>
          <m:sub>
            <m:r>
              <m:t>i</m:t>
            </m:r>
          </m:sub>
        </m:sSub>
        <m:r>
          <m:rPr>
            <m:sty m:val="p"/>
          </m:rPr>
          <m:t>|</m:t>
        </m:r>
        <m:r>
          <m:rPr>
            <m:sty m:val="p"/>
          </m:rPr>
          <m:t>&lt;</m:t>
        </m:r>
        <m:r>
          <m:t>1</m:t>
        </m:r>
      </m:oMath>
      <w:r>
        <w:t xml:space="preserve"> </w:t>
      </w:r>
      <w:r>
        <w:t xml:space="preserve">(</w:t>
      </w:r>
      <m:oMath>
        <m:r>
          <m:rPr>
            <m:sty m:val="p"/>
          </m:rPr>
          <m:t>|</m:t>
        </m:r>
        <m:r>
          <m:t>0</m:t>
        </m:r>
        <m:r>
          <m:rPr>
            <m:sty m:val="p"/>
          </m:rPr>
          <m:t>,</m:t>
        </m:r>
        <m:r>
          <m:t>7</m:t>
        </m:r>
        <m:r>
          <m:rPr>
            <m:sty m:val="p"/>
          </m:rPr>
          <m:t>|</m:t>
        </m:r>
        <m:r>
          <m:rPr>
            <m:sty m:val="p"/>
          </m:rPr>
          <m:t>&lt;</m:t>
        </m:r>
        <m:r>
          <m:t>1</m:t>
        </m:r>
      </m:oMath>
      <w:r>
        <w:t xml:space="preserve"> </w:t>
      </w:r>
      <w:r>
        <w:t xml:space="preserve">y</w:t>
      </w:r>
      <w:r>
        <w:t xml:space="preserve"> </w:t>
      </w:r>
      <m:oMath>
        <m:r>
          <m:rPr>
            <m:sty m:val="p"/>
          </m:rPr>
          <m:t>|</m:t>
        </m:r>
        <m:r>
          <m:t>0</m:t>
        </m:r>
        <m:r>
          <m:rPr>
            <m:sty m:val="p"/>
          </m:rPr>
          <m:t>,</m:t>
        </m:r>
        <m:r>
          <m:t>6</m:t>
        </m:r>
        <m:r>
          <m:rPr>
            <m:sty m:val="p"/>
          </m:rPr>
          <m:t>|</m:t>
        </m:r>
        <m:r>
          <m:rPr>
            <m:sty m:val="p"/>
          </m:rPr>
          <m:t>&lt;</m:t>
        </m:r>
        <m:r>
          <m:t>1</m:t>
        </m:r>
      </m:oMath>
      <w:r>
        <w:t xml:space="preserve">), por lo tanto el VAR(1) es</w:t>
      </w:r>
      <w:r>
        <w:t xml:space="preserve"> </w:t>
      </w:r>
      <w:r>
        <w:rPr>
          <w:b/>
          <w:bCs/>
        </w:rPr>
        <w:t xml:space="preserve">estable</w:t>
      </w:r>
      <w:r>
        <w:t xml:space="preserve"> </w:t>
      </w:r>
      <w:r>
        <w:t xml:space="preserve">(estacionario en varianza). Las perturbaciones decaen exponencialmente y el sistema retorna al equilibrio sin oscilaciones explosivas ni unit root. La velocidad de decaimiento está gobernada por el autovalor dominante</w:t>
      </w:r>
      <w:r>
        <w:t xml:space="preserve"> </w:t>
      </w:r>
      <m:oMath>
        <m:r>
          <m:rPr>
            <m:sty m:val="p"/>
          </m:rPr>
          <m:t>|</m:t>
        </m:r>
        <m:sSub>
          <m:e>
            <m:r>
              <m:t>λ</m:t>
            </m:r>
          </m:e>
          <m:sub>
            <m:r>
              <m:rPr>
                <m:sty m:val="p"/>
              </m:rPr>
              <m:t>max</m:t>
            </m:r>
          </m:sub>
        </m:sSub>
        <m:r>
          <m:rPr>
            <m:sty m:val="p"/>
          </m:rPr>
          <m:t>|</m:t>
        </m:r>
        <m:r>
          <m:rPr>
            <m:sty m:val="p"/>
          </m:rPr>
          <m:t>=</m:t>
        </m:r>
        <m:r>
          <m:t>0</m:t>
        </m:r>
        <m:r>
          <m:rPr>
            <m:sty m:val="p"/>
          </m:rPr>
          <m:t>,</m:t>
        </m:r>
        <m:r>
          <m:t>7</m:t>
        </m:r>
      </m:oMath>
      <w:r>
        <w:t xml:space="preserve">, con una vida media de aproximadamente</w:t>
      </w:r>
      <w:r>
        <w:t xml:space="preserve"> </w:t>
      </w:r>
      <m:oMath>
        <m:r>
          <m:t>1</m:t>
        </m:r>
        <m:r>
          <m:rPr>
            <m:sty m:val="p"/>
          </m:rPr>
          <m:t>/</m:t>
        </m:r>
        <m:r>
          <m:rPr>
            <m:sty m:val="p"/>
          </m:rPr>
          <m:t>(</m:t>
        </m:r>
        <m:r>
          <m:t>1</m:t>
        </m:r>
        <m:r>
          <m:rPr>
            <m:sty m:val="p"/>
          </m:rPr>
          <m:t>−</m:t>
        </m:r>
        <m:r>
          <m:t>0</m:t>
        </m:r>
        <m:r>
          <m:rPr>
            <m:sty m:val="p"/>
          </m:rPr>
          <m:t>,</m:t>
        </m:r>
        <m:r>
          <m:t>7</m:t>
        </m:r>
        <m:r>
          <m:rPr>
            <m:sty m:val="p"/>
          </m:rPr>
          <m:t>)</m:t>
        </m:r>
        <m:r>
          <m:rPr>
            <m:sty m:val="p"/>
          </m:rPr>
          <m:t>≈</m:t>
        </m:r>
        <m:r>
          <m:t>3</m:t>
        </m:r>
        <m:r>
          <m:rPr>
            <m:sty m:val="p"/>
          </m:rPr>
          <m:t>,</m:t>
        </m:r>
        <m:r>
          <m:t>3</m:t>
        </m:r>
      </m:oMath>
      <w:r>
        <w:t xml:space="preserve"> </w:t>
      </w:r>
      <w:r>
        <w:t xml:space="preserve">periodos.</w:t>
      </w:r>
    </w:p>
    <w:p>
      <w:r>
        <w:pict>
          <v:rect style="width:0;height:1.5pt" o:hralign="center" o:hrstd="t" o:hr="t"/>
        </w:pict>
      </w:r>
    </w:p>
    <w:bookmarkEnd w:id="34"/>
    <w:bookmarkEnd w:id="35"/>
    <w:bookmarkEnd w:id="36"/>
    <w:bookmarkStart w:id="51" w:name="parte-de-laboratorio-40"/>
    <w:p>
      <w:pPr>
        <w:pStyle w:val="Heading2"/>
      </w:pPr>
      <w:r>
        <w:t xml:space="preserve">Parte de Laboratorio (40 %)</w:t>
      </w:r>
    </w:p>
    <w:bookmarkStart w:id="37" w:name="contexto"/>
    <w:p>
      <w:pPr>
        <w:pStyle w:val="Heading3"/>
      </w:pPr>
      <w:r>
        <w:t xml:space="preserve">Contexto</w:t>
      </w:r>
    </w:p>
    <w:p>
      <w:pPr>
        <w:pStyle w:val="FirstParagraph"/>
      </w:pPr>
      <w:r>
        <w:t xml:space="preserve">Base de datos:</w:t>
      </w:r>
      <w:r>
        <w:t xml:space="preserve"> </w:t>
      </w:r>
      <w:r>
        <w:rPr>
          <w:rStyle w:val="VerbatimChar"/>
        </w:rPr>
        <w:t xml:space="preserve">data/base_datos_var.xlsx</w:t>
      </w:r>
      <w:r>
        <w:t xml:space="preserve"> </w:t>
      </w:r>
      <w:r>
        <w:t xml:space="preserve">— 100 observaciones mensuales (frecuencia MS) con variables:</w:t>
      </w:r>
    </w:p>
    <w:p>
      <w:pPr>
        <w:pStyle w:val="Compact"/>
        <w:numPr>
          <w:ilvl w:val="0"/>
          <w:numId w:val="1009"/>
        </w:numPr>
      </w:pPr>
      <w:r>
        <w:rPr>
          <w:rStyle w:val="VerbatimChar"/>
        </w:rPr>
        <w:t xml:space="preserve">frecuencia_hz</w:t>
      </w:r>
      <w:r>
        <w:t xml:space="preserve"> </w:t>
      </w:r>
      <w:r>
        <w:t xml:space="preserve">— Frecuencia (Hz)</w:t>
      </w:r>
    </w:p>
    <w:p>
      <w:pPr>
        <w:pStyle w:val="Compact"/>
        <w:numPr>
          <w:ilvl w:val="0"/>
          <w:numId w:val="1009"/>
        </w:numPr>
      </w:pPr>
      <w:r>
        <w:rPr>
          <w:rStyle w:val="VerbatimChar"/>
        </w:rPr>
        <w:t xml:space="preserve">potencia_activa_mw</w:t>
      </w:r>
      <w:r>
        <w:t xml:space="preserve"> </w:t>
      </w:r>
      <w:r>
        <w:t xml:space="preserve">— Potencia Activa (MW)</w:t>
      </w:r>
    </w:p>
    <w:p>
      <w:pPr>
        <w:pStyle w:val="Compact"/>
        <w:numPr>
          <w:ilvl w:val="0"/>
          <w:numId w:val="1009"/>
        </w:numPr>
      </w:pPr>
      <w:r>
        <w:rPr>
          <w:rStyle w:val="VerbatimChar"/>
        </w:rPr>
        <w:t xml:space="preserve">potencia_reactiva_mvar</w:t>
      </w:r>
      <w:r>
        <w:t xml:space="preserve"> </w:t>
      </w:r>
      <w:r>
        <w:t xml:space="preserve">— Potencia Reactiva (MVAR)</w:t>
      </w:r>
    </w:p>
    <w:p>
      <w:r>
        <w:pict>
          <v:rect style="width:0;height:1.5pt" o:hralign="center" o:hrstd="t" o:hr="t"/>
        </w:pict>
      </w:r>
    </w:p>
    <w:bookmarkEnd w:id="37"/>
    <w:bookmarkStart w:id="41" w:name="Xb87635dbfad1f3d4970fbc7d8fc8cb5bc0c4f97"/>
    <w:p>
      <w:pPr>
        <w:pStyle w:val="Heading3"/>
      </w:pPr>
      <w:r>
        <w:t xml:space="preserve">Requerimiento 1 (10 %) — Importación y visualización</w:t>
      </w:r>
    </w:p>
    <w:p>
      <w:pPr>
        <w:pStyle w:val="FirstParagraph"/>
      </w:pPr>
      <w:r>
        <w:t xml:space="preserve">Se cargó el archivo Excel, se configuró la columna</w:t>
      </w:r>
      <w:r>
        <w:t xml:space="preserve"> </w:t>
      </w:r>
      <w:r>
        <w:rPr>
          <w:rStyle w:val="VerbatimChar"/>
        </w:rPr>
        <w:t xml:space="preserve">timestamp</w:t>
      </w:r>
      <w:r>
        <w:t xml:space="preserve"> </w:t>
      </w:r>
      <w:r>
        <w:t xml:space="preserve">como índice con frecuencia mensual (</w:t>
      </w:r>
      <w:r>
        <w:rPr>
          <w:rStyle w:val="VerbatimChar"/>
        </w:rPr>
        <w:t xml:space="preserve">MS</w:t>
      </w:r>
      <w:r>
        <w:t xml:space="preserve">) y se generó el gráfico de series superpuestas.</w:t>
      </w:r>
    </w:p>
    <w:p>
      <w:pPr>
        <w:pStyle w:val="CaptionedFigure"/>
      </w:pPr>
      <w:r>
        <w:drawing>
          <wp:inline>
            <wp:extent cx="5334000" cy="2667000"/>
            <wp:effectExtent b="0" l="0" r="0" t="0"/>
            <wp:docPr descr="Series temporales superpuestas" title="" id="39" name="Picture"/>
            <a:graphic>
              <a:graphicData uri="http://schemas.openxmlformats.org/drawingml/2006/picture">
                <pic:pic>
                  <pic:nvPicPr>
                    <pic:cNvPr descr="sesiones/graficos/series_temporales_superpuestas.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Series temporales superpuestas</w:t>
      </w:r>
    </w:p>
    <w:p>
      <w:pPr>
        <w:pStyle w:val="BodyText"/>
      </w:pPr>
      <w:r>
        <w:rPr>
          <w:b/>
          <w:bCs/>
        </w:rPr>
        <w:t xml:space="preserve">Observación:</w:t>
      </w:r>
      <w:r>
        <w:t xml:space="preserve"> </w:t>
      </w:r>
      <w:r>
        <w:t xml:space="preserve">Las tres variables presentan una tendencia decreciente marcada a lo largo del horizonte muestral (2024–2032), con una caída abrupta inicial en frecuencia (de ~60 Hz a valores inferiores a 10 Hz), sugiriendo un escenario de degradación progresiva del equilibrio del sistema.</w:t>
      </w:r>
    </w:p>
    <w:p>
      <w:r>
        <w:pict>
          <v:rect style="width:0;height:1.5pt" o:hralign="center" o:hrstd="t" o:hr="t"/>
        </w:pict>
      </w:r>
    </w:p>
    <w:bookmarkEnd w:id="41"/>
    <w:bookmarkStart w:id="42" w:name="X1c70173bb7ec637838b57a4d253281aa85747d8"/>
    <w:p>
      <w:pPr>
        <w:pStyle w:val="Heading3"/>
      </w:pPr>
      <w:r>
        <w:t xml:space="preserve">Requerimiento 2 (10 %) — Estimación del modelo VAR</w:t>
      </w:r>
    </w:p>
    <w:p>
      <w:pPr>
        <w:pStyle w:val="FirstParagraph"/>
      </w:pPr>
      <w:r>
        <w:rPr>
          <w:b/>
          <w:bCs/>
        </w:rPr>
        <w:t xml:space="preserve">Selección de rezagos (equivalente a</w:t>
      </w:r>
      <w:r>
        <w:rPr>
          <w:b/>
          <w:bCs/>
        </w:rPr>
        <w:t xml:space="preserve"> </w:t>
      </w:r>
      <w:r>
        <w:rPr>
          <w:rStyle w:val="VerbatimChar"/>
          <w:b/>
          <w:bCs/>
        </w:rPr>
        <w:t xml:space="preserve">VARselect</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Orden óptimo</w:t>
            </w:r>
          </w:p>
        </w:tc>
      </w:tr>
      <w:tr>
        <w:tc>
          <w:tcPr/>
          <w:p>
            <w:pPr>
              <w:pStyle w:val="Compact"/>
            </w:pPr>
            <w:r>
              <w:rPr>
                <w:b/>
                <w:bCs/>
              </w:rPr>
              <w:t xml:space="preserve">AIC</w:t>
            </w:r>
          </w:p>
        </w:tc>
        <w:tc>
          <w:tcPr/>
          <w:p>
            <w:pPr>
              <w:pStyle w:val="Compact"/>
            </w:pPr>
            <w:r>
              <w:rPr>
                <w:b/>
                <w:bCs/>
              </w:rPr>
              <w:t xml:space="preserve">p = 2</w:t>
            </w:r>
          </w:p>
        </w:tc>
      </w:tr>
      <w:tr>
        <w:tc>
          <w:tcPr/>
          <w:p>
            <w:pPr>
              <w:pStyle w:val="Compact"/>
            </w:pPr>
            <w:r>
              <w:t xml:space="preserve">BIC</w:t>
            </w:r>
          </w:p>
        </w:tc>
        <w:tc>
          <w:tcPr/>
          <w:p>
            <w:pPr>
              <w:pStyle w:val="Compact"/>
            </w:pPr>
            <w:r>
              <w:t xml:space="preserve">p = 1</w:t>
            </w:r>
          </w:p>
        </w:tc>
      </w:tr>
      <w:tr>
        <w:tc>
          <w:tcPr/>
          <w:p>
            <w:pPr>
              <w:pStyle w:val="Compact"/>
            </w:pPr>
            <w:r>
              <w:t xml:space="preserve">FPE</w:t>
            </w:r>
          </w:p>
        </w:tc>
        <w:tc>
          <w:tcPr/>
          <w:p>
            <w:pPr>
              <w:pStyle w:val="Compact"/>
            </w:pPr>
            <w:r>
              <w:t xml:space="preserve">p = 2</w:t>
            </w:r>
          </w:p>
        </w:tc>
      </w:tr>
      <w:tr>
        <w:tc>
          <w:tcPr/>
          <w:p>
            <w:pPr>
              <w:pStyle w:val="Compact"/>
            </w:pPr>
            <w:r>
              <w:t xml:space="preserve">HQIC</w:t>
            </w:r>
          </w:p>
        </w:tc>
        <w:tc>
          <w:tcPr/>
          <w:p>
            <w:pPr>
              <w:pStyle w:val="Compact"/>
            </w:pPr>
            <w:r>
              <w:t xml:space="preserve">p = 1</w:t>
            </w:r>
          </w:p>
        </w:tc>
      </w:tr>
    </w:tbl>
    <w:p>
      <w:pPr>
        <w:pStyle w:val="BodyText"/>
      </w:pPr>
      <w:r>
        <w:t xml:space="preserve">Se estimó un</w:t>
      </w:r>
      <w:r>
        <w:t xml:space="preserve"> </w:t>
      </w:r>
      <w:r>
        <w:rPr>
          <w:b/>
          <w:bCs/>
        </w:rPr>
        <w:t xml:space="preserve">VAR(2)</w:t>
      </w:r>
      <w:r>
        <w:t xml:space="preserve"> </w:t>
      </w:r>
      <w:r>
        <w:t xml:space="preserve">con 98 observaciones efectivas. Coeficientes destacados:</w:t>
      </w:r>
    </w:p>
    <w:p>
      <w:pPr>
        <w:pStyle w:val="Compact"/>
        <w:numPr>
          <w:ilvl w:val="0"/>
          <w:numId w:val="1010"/>
        </w:numPr>
      </w:pPr>
      <w:r>
        <w:t xml:space="preserve">Ecuación de frecuencia: fuerte persistencia propia (</w:t>
      </w:r>
      <m:oMath>
        <m:sSubSup>
          <m:e>
            <m:acc>
              <m:accPr>
                <m:chr m:val="̂"/>
              </m:accPr>
              <m:e>
                <m:r>
                  <m:t>α</m:t>
                </m:r>
              </m:e>
            </m:acc>
          </m:e>
          <m:sub>
            <m:r>
              <m:t>11</m:t>
            </m:r>
          </m:sub>
          <m:sup>
            <m:r>
              <m:rPr>
                <m:sty m:val="p"/>
              </m:rPr>
              <m:t>(</m:t>
            </m:r>
            <m:r>
              <m:t>1</m:t>
            </m:r>
            <m:r>
              <m:rPr>
                <m:sty m:val="p"/>
              </m:rPr>
              <m:t>)</m:t>
            </m:r>
          </m:sup>
        </m:sSubSup>
        <m:r>
          <m:rPr>
            <m:sty m:val="p"/>
          </m:rPr>
          <m:t>=</m:t>
        </m:r>
        <m:r>
          <m:t>0</m:t>
        </m:r>
        <m:r>
          <m:rPr>
            <m:sty m:val="p"/>
          </m:rPr>
          <m:t>,</m:t>
        </m:r>
        <m:r>
          <m:t>651</m:t>
        </m:r>
      </m:oMath>
      <w:r>
        <w:t xml:space="preserve">,</w:t>
      </w:r>
      <w:r>
        <w:t xml:space="preserve"> </w:t>
      </w:r>
      <m:oMath>
        <m:sSubSup>
          <m:e>
            <m:acc>
              <m:accPr>
                <m:chr m:val="̂"/>
              </m:accPr>
              <m:e>
                <m:r>
                  <m:t>α</m:t>
                </m:r>
              </m:e>
            </m:acc>
          </m:e>
          <m:sub>
            <m:r>
              <m:t>11</m:t>
            </m:r>
          </m:sub>
          <m:sup>
            <m:r>
              <m:rPr>
                <m:sty m:val="p"/>
              </m:rPr>
              <m:t>(</m:t>
            </m:r>
            <m:r>
              <m:t>2</m:t>
            </m:r>
            <m:r>
              <m:rPr>
                <m:sty m:val="p"/>
              </m:rPr>
              <m:t>)</m:t>
            </m:r>
          </m:sup>
        </m:sSubSup>
        <m:r>
          <m:rPr>
            <m:sty m:val="p"/>
          </m:rPr>
          <m:t>=</m:t>
        </m:r>
        <m:r>
          <m:t>0</m:t>
        </m:r>
        <m:r>
          <m:rPr>
            <m:sty m:val="p"/>
          </m:rPr>
          <m:t>,</m:t>
        </m:r>
        <m:r>
          <m:t>193</m:t>
        </m:r>
      </m:oMath>
      <w:r>
        <w:t xml:space="preserve">) y efecto negativo significativo de potencia activa rezagada (</w:t>
      </w:r>
      <m:oMath>
        <m:sSubSup>
          <m:e>
            <m:acc>
              <m:accPr>
                <m:chr m:val="̂"/>
              </m:accPr>
              <m:e>
                <m:r>
                  <m:t>α</m:t>
                </m:r>
              </m:e>
            </m:acc>
          </m:e>
          <m:sub>
            <m:r>
              <m:t>12</m:t>
            </m:r>
          </m:sub>
          <m:sup>
            <m:r>
              <m:rPr>
                <m:sty m:val="p"/>
              </m:rPr>
              <m:t>(</m:t>
            </m:r>
            <m:r>
              <m:t>1</m:t>
            </m:r>
            <m:r>
              <m:rPr>
                <m:sty m:val="p"/>
              </m:rPr>
              <m:t>)</m:t>
            </m:r>
          </m:sup>
        </m:sSubSup>
        <m:r>
          <m:rPr>
            <m:sty m:val="p"/>
          </m:rPr>
          <m:t>=</m:t>
        </m:r>
        <m:r>
          <m:rPr>
            <m:sty m:val="p"/>
          </m:rPr>
          <m:t>−</m:t>
        </m:r>
        <m:r>
          <m:t>0</m:t>
        </m:r>
        <m:r>
          <m:rPr>
            <m:sty m:val="p"/>
          </m:rPr>
          <m:t>,</m:t>
        </m:r>
        <m:r>
          <m:t>062</m:t>
        </m:r>
      </m:oMath>
      <w:r>
        <w:t xml:space="preserve">,</w:t>
      </w:r>
      <w:r>
        <w:t xml:space="preserve"> </w:t>
      </w:r>
      <m:oMath>
        <m:sSubSup>
          <m:e>
            <m:acc>
              <m:accPr>
                <m:chr m:val="̂"/>
              </m:accPr>
              <m:e>
                <m:r>
                  <m:t>α</m:t>
                </m:r>
              </m:e>
            </m:acc>
          </m:e>
          <m:sub>
            <m:r>
              <m:t>12</m:t>
            </m:r>
          </m:sub>
          <m:sup>
            <m:r>
              <m:rPr>
                <m:sty m:val="p"/>
              </m:rPr>
              <m:t>(</m:t>
            </m:r>
            <m:r>
              <m:t>2</m:t>
            </m:r>
            <m:r>
              <m:rPr>
                <m:sty m:val="p"/>
              </m:rPr>
              <m:t>)</m:t>
            </m:r>
          </m:sup>
        </m:sSubSup>
        <m:r>
          <m:rPr>
            <m:sty m:val="p"/>
          </m:rPr>
          <m:t>=</m:t>
        </m:r>
        <m:r>
          <m:rPr>
            <m:sty m:val="p"/>
          </m:rPr>
          <m:t>−</m:t>
        </m:r>
        <m:r>
          <m:t>0</m:t>
        </m:r>
        <m:r>
          <m:rPr>
            <m:sty m:val="p"/>
          </m:rPr>
          <m:t>,</m:t>
        </m:r>
        <m:r>
          <m:t>039</m:t>
        </m:r>
      </m:oMath>
      <w:r>
        <w:t xml:space="preserve">).</w:t>
      </w:r>
    </w:p>
    <w:p>
      <w:pPr>
        <w:pStyle w:val="Compact"/>
        <w:numPr>
          <w:ilvl w:val="0"/>
          <w:numId w:val="1010"/>
        </w:numPr>
      </w:pPr>
      <w:r>
        <w:t xml:space="preserve">Matriz de correlación de residuos: correlación moderada entre potencia activa y reactiva (</w:t>
      </w:r>
      <m:oMath>
        <m:r>
          <m:t>ρ</m:t>
        </m:r>
        <m:r>
          <m:rPr>
            <m:sty m:val="p"/>
          </m:rPr>
          <m:t>=</m:t>
        </m:r>
        <m:r>
          <m:t>0</m:t>
        </m:r>
        <m:r>
          <m:rPr>
            <m:sty m:val="p"/>
          </m:rPr>
          <m:t>,</m:t>
        </m:r>
        <m:r>
          <m:t>554</m:t>
        </m:r>
      </m:oMath>
      <w:r>
        <w:t xml:space="preserve">), justificando el uso de FIR ortogonalizadas.</w:t>
      </w:r>
    </w:p>
    <w:p>
      <w:r>
        <w:pict>
          <v:rect style="width:0;height:1.5pt" o:hralign="center" o:hrstd="t" o:hr="t"/>
        </w:pict>
      </w:r>
    </w:p>
    <w:bookmarkEnd w:id="42"/>
    <w:bookmarkStart w:id="46" w:name="requerimiento-3-10-fir-ortogonalizadas"/>
    <w:p>
      <w:pPr>
        <w:pStyle w:val="Heading3"/>
      </w:pPr>
      <w:r>
        <w:t xml:space="preserve">Requerimiento 3 (10 %) — FIR ortogonalizadas</w:t>
      </w:r>
    </w:p>
    <w:p>
      <w:pPr>
        <w:pStyle w:val="FirstParagraph"/>
      </w:pPr>
      <w:r>
        <w:t xml:space="preserve">Se calcularon las FIR ortogonalizadas mediante descomposición de Cholesky con orden</w:t>
      </w:r>
      <w:r>
        <w:t xml:space="preserve"> </w:t>
      </w:r>
      <m:oMath>
        <m:r>
          <m:rPr>
            <m:sty m:val="p"/>
          </m:rPr>
          <m:t>[</m:t>
        </m:r>
        <m:r>
          <m:t>f</m:t>
        </m:r>
        <m:r>
          <m:rPr>
            <m:sty m:val="p"/>
          </m:rPr>
          <m:t>,</m:t>
        </m:r>
        <m:r>
          <m:t> </m:t>
        </m:r>
        <m:r>
          <m:t>P</m:t>
        </m:r>
        <m:r>
          <m:rPr>
            <m:sty m:val="p"/>
          </m:rPr>
          <m:t>,</m:t>
        </m:r>
        <m:r>
          <m:t> </m:t>
        </m:r>
        <m:r>
          <m:t>Q</m:t>
        </m:r>
        <m:r>
          <m:rPr>
            <m:sty m:val="p"/>
          </m:rPr>
          <m:t>]</m:t>
        </m:r>
      </m:oMath>
      <w:r>
        <w:t xml:space="preserve"> </w:t>
      </w:r>
      <w:r>
        <w:t xml:space="preserve">para 20 periodos.</w:t>
      </w:r>
    </w:p>
    <w:p>
      <w:pPr>
        <w:pStyle w:val="CaptionedFigure"/>
      </w:pPr>
      <w:r>
        <w:drawing>
          <wp:inline>
            <wp:extent cx="5334000" cy="3853036"/>
            <wp:effectExtent b="0" l="0" r="0" t="0"/>
            <wp:docPr descr="Matriz FIR ortogonalizada 3×3" title="" id="44" name="Picture"/>
            <a:graphic>
              <a:graphicData uri="http://schemas.openxmlformats.org/drawingml/2006/picture">
                <pic:pic>
                  <pic:nvPicPr>
                    <pic:cNvPr descr="sesiones/graficos/fir_matriz_ortogonalizada.png" id="45" name="Picture"/>
                    <pic:cNvPicPr>
                      <a:picLocks noChangeArrowheads="1" noChangeAspect="1"/>
                    </pic:cNvPicPr>
                  </pic:nvPicPr>
                  <pic:blipFill>
                    <a:blip r:embed="rId43"/>
                    <a:stretch>
                      <a:fillRect/>
                    </a:stretch>
                  </pic:blipFill>
                  <pic:spPr bwMode="auto">
                    <a:xfrm>
                      <a:off x="0" y="0"/>
                      <a:ext cx="5334000" cy="3853036"/>
                    </a:xfrm>
                    <a:prstGeom prst="rect">
                      <a:avLst/>
                    </a:prstGeom>
                    <a:noFill/>
                    <a:ln w="9525">
                      <a:noFill/>
                      <a:headEnd/>
                      <a:tailEnd/>
                    </a:ln>
                  </pic:spPr>
                </pic:pic>
              </a:graphicData>
            </a:graphic>
          </wp:inline>
        </w:drawing>
      </w:r>
    </w:p>
    <w:p>
      <w:pPr>
        <w:pStyle w:val="ImageCaption"/>
      </w:pPr>
      <w:r>
        <w:t xml:space="preserve">Matriz FIR ortogonalizada 3×3</w:t>
      </w:r>
    </w:p>
    <w:p>
      <w:r>
        <w:pict>
          <v:rect style="width:0;height:1.5pt" o:hralign="center" o:hrstd="t" o:hr="t"/>
        </w:pict>
      </w:r>
    </w:p>
    <w:bookmarkEnd w:id="46"/>
    <w:bookmarkStart w:id="49" w:name="requerimiento-4-10-interpretación"/>
    <w:p>
      <w:pPr>
        <w:pStyle w:val="Heading3"/>
      </w:pPr>
      <w:r>
        <w:t xml:space="preserve">Requerimiento 4 (10 %) — Interpretación</w:t>
      </w:r>
    </w:p>
    <w:bookmarkStart w:id="47" w:name="X80664b7f280cb372e72c92e2b7f3f1ec041c7d1"/>
    <w:p>
      <w:pPr>
        <w:pStyle w:val="Heading4"/>
      </w:pPr>
      <w:r>
        <w:t xml:space="preserve">a) Efecto de un shock en potencia activa (MW) sobre la frecuencia (Hz)</w:t>
      </w:r>
    </w:p>
    <w:p>
      <w:pPr>
        <w:pStyle w:val="FirstParagraph"/>
      </w:pPr>
      <w:r>
        <w:t xml:space="preserve">Analizando el panel central de la fila superior de la matriz FIR (</w:t>
      </w:r>
      <w:r>
        <w:rPr>
          <w:rStyle w:val="VerbatimChar"/>
        </w:rPr>
        <w:t xml:space="preserve">potencia_activa_mw → frecuencia_hz</w:t>
      </w:r>
      <w:r>
        <w:t xml:space="preserve">):</w:t>
      </w:r>
    </w:p>
    <w:p>
      <w:pPr>
        <w:numPr>
          <w:ilvl w:val="0"/>
          <w:numId w:val="1011"/>
        </w:numPr>
      </w:pPr>
      <w:r>
        <w:rPr>
          <w:b/>
          <w:bCs/>
        </w:rPr>
        <w:t xml:space="preserve">Signo:</w:t>
      </w:r>
      <w:r>
        <w:t xml:space="preserve"> </w:t>
      </w:r>
      <w:r>
        <w:t xml:space="preserve">El shock ortogonalizado positivo en potencia activa genera una respuesta</w:t>
      </w:r>
      <w:r>
        <w:t xml:space="preserve"> </w:t>
      </w:r>
      <w:r>
        <w:rPr>
          <w:b/>
          <w:bCs/>
        </w:rPr>
        <w:t xml:space="preserve">negativa</w:t>
      </w:r>
      <w:r>
        <w:t xml:space="preserve"> </w:t>
      </w:r>
      <w:r>
        <w:t xml:space="preserve">en la frecuencia a partir del periodo</w:t>
      </w:r>
      <w:r>
        <w:t xml:space="preserve"> </w:t>
      </w:r>
      <m:oMath>
        <m:r>
          <m:t>h</m:t>
        </m:r>
        <m:r>
          <m:rPr>
            <m:sty m:val="p"/>
          </m:rPr>
          <m:t>=</m:t>
        </m:r>
        <m:r>
          <m:t>1</m:t>
        </m:r>
      </m:oMath>
      <w:r>
        <w:t xml:space="preserve"> </w:t>
      </w:r>
      <w:r>
        <w:t xml:space="preserve">(en</w:t>
      </w:r>
      <w:r>
        <w:t xml:space="preserve"> </w:t>
      </w:r>
      <m:oMath>
        <m:r>
          <m:t>h</m:t>
        </m:r>
        <m:r>
          <m:rPr>
            <m:sty m:val="p"/>
          </m:rPr>
          <m:t>=</m:t>
        </m:r>
        <m:r>
          <m:t>0</m:t>
        </m:r>
      </m:oMath>
      <w:r>
        <w:t xml:space="preserve"> </w:t>
      </w:r>
      <w:r>
        <w:t xml:space="preserve">la respuesta es nula por la restricción de Cholesky con</w:t>
      </w:r>
      <w:r>
        <w:t xml:space="preserve"> </w:t>
      </w:r>
      <m:oMath>
        <m:r>
          <m:t>f</m:t>
        </m:r>
      </m:oMath>
      <w:r>
        <w:t xml:space="preserve"> </w:t>
      </w:r>
      <w:r>
        <w:t xml:space="preserve">ordenada primero).</w:t>
      </w:r>
    </w:p>
    <w:p>
      <w:pPr>
        <w:numPr>
          <w:ilvl w:val="0"/>
          <w:numId w:val="1011"/>
        </w:numPr>
      </w:pPr>
      <w:r>
        <w:rPr>
          <w:b/>
          <w:bCs/>
        </w:rPr>
        <w:t xml:space="preserve">Magnitud:</w:t>
      </w:r>
      <w:r>
        <w:t xml:space="preserve"> </w:t>
      </w:r>
      <w:r>
        <w:t xml:space="preserve">La respuesta alcanza su mínimo alrededor del periodo</w:t>
      </w:r>
      <w:r>
        <w:t xml:space="preserve"> </w:t>
      </w:r>
      <m:oMath>
        <m:r>
          <m:t>h</m:t>
        </m:r>
        <m:r>
          <m:rPr>
            <m:sty m:val="p"/>
          </m:rPr>
          <m:t>≈</m:t>
        </m:r>
        <m:r>
          <m:t>5</m:t>
        </m:r>
      </m:oMath>
      <w:r>
        <w:t xml:space="preserve"> </w:t>
      </w:r>
      <w:r>
        <w:t xml:space="preserve">(≈</w:t>
      </w:r>
      <w:r>
        <w:t xml:space="preserve"> </w:t>
      </w:r>
      <m:oMath>
        <m:r>
          <m:rPr>
            <m:sty m:val="p"/>
          </m:rPr>
          <m:t>−</m:t>
        </m:r>
        <m:r>
          <m:t>0</m:t>
        </m:r>
        <m:r>
          <m:rPr>
            <m:sty m:val="p"/>
          </m:rPr>
          <m:t>,</m:t>
        </m:r>
        <m:r>
          <m:t>11</m:t>
        </m:r>
      </m:oMath>
      <w:r>
        <w:t xml:space="preserve"> </w:t>
      </w:r>
      <w:r>
        <w:t xml:space="preserve">Hz por unidad de shock estandarizado), indicando que un incremento súbito en la potencia activa se traduce en una reducción acumulada de la frecuencia en los meses siguientes.</w:t>
      </w:r>
    </w:p>
    <w:p>
      <w:pPr>
        <w:numPr>
          <w:ilvl w:val="0"/>
          <w:numId w:val="1011"/>
        </w:numPr>
      </w:pPr>
      <w:r>
        <w:rPr>
          <w:b/>
          <w:bCs/>
        </w:rPr>
        <w:t xml:space="preserve">Persistencia vs. transitoriedad:</w:t>
      </w:r>
      <w:r>
        <w:t xml:space="preserve"> </w:t>
      </w:r>
      <w:r>
        <w:t xml:space="preserve">El efecto es</w:t>
      </w:r>
      <w:r>
        <w:t xml:space="preserve"> </w:t>
      </w:r>
      <w:r>
        <w:rPr>
          <w:b/>
          <w:bCs/>
        </w:rPr>
        <w:t xml:space="preserve">persistente</w:t>
      </w:r>
      <w:r>
        <w:t xml:space="preserve"> </w:t>
      </w:r>
      <w:r>
        <w:t xml:space="preserve">en el horizonte de 20 periodos. La trayectoria de la FIR no retorna al equilibrio (cero) dentro de la ventana analizada: al periodo</w:t>
      </w:r>
      <w:r>
        <w:t xml:space="preserve"> </w:t>
      </w:r>
      <m:oMath>
        <m:r>
          <m:t>h</m:t>
        </m:r>
        <m:r>
          <m:rPr>
            <m:sty m:val="p"/>
          </m:rPr>
          <m:t>=</m:t>
        </m:r>
        <m:r>
          <m:t>20</m:t>
        </m:r>
      </m:oMath>
      <w:r>
        <w:t xml:space="preserve"> </w:t>
      </w:r>
      <w:r>
        <w:t xml:space="preserve">la respuesta permanece en ≈</w:t>
      </w:r>
      <w:r>
        <w:t xml:space="preserve"> </w:t>
      </w:r>
      <m:oMath>
        <m:r>
          <m:rPr>
            <m:sty m:val="p"/>
          </m:rPr>
          <m:t>−</m:t>
        </m:r>
        <m:r>
          <m:t>0</m:t>
        </m:r>
        <m:r>
          <m:rPr>
            <m:sty m:val="p"/>
          </m:rPr>
          <m:t>,</m:t>
        </m:r>
        <m:r>
          <m:t>023</m:t>
        </m:r>
      </m:oMath>
      <w:r>
        <w:t xml:space="preserve"> </w:t>
      </w:r>
      <w:r>
        <w:t xml:space="preserve">Hz, con bandas de confianza que</w:t>
      </w:r>
      <w:r>
        <w:t xml:space="preserve"> </w:t>
      </w:r>
      <w:r>
        <w:rPr>
          <w:b/>
          <w:bCs/>
        </w:rPr>
        <w:t xml:space="preserve">no incluyen el cero</w:t>
      </w:r>
      <w:r>
        <w:t xml:space="preserve"> </w:t>
      </w:r>
      <w:r>
        <w:t xml:space="preserve">durante la mayor parte del horizonte (</w:t>
      </w:r>
      <m:oMath>
        <m:r>
          <m:t>h</m:t>
        </m:r>
        <m:r>
          <m:rPr>
            <m:sty m:val="p"/>
          </m:rPr>
          <m:t>=</m:t>
        </m:r>
        <m:r>
          <m:t>1</m:t>
        </m:r>
      </m:oMath>
      <w:r>
        <w:t xml:space="preserve"> </w:t>
      </w:r>
      <w:r>
        <w:t xml:space="preserve">a</w:t>
      </w:r>
      <w:r>
        <w:t xml:space="preserve"> </w:t>
      </w:r>
      <m:oMath>
        <m:r>
          <m:t>h</m:t>
        </m:r>
        <m:r>
          <m:rPr>
            <m:sty m:val="p"/>
          </m:rPr>
          <m:t>≈</m:t>
        </m:r>
        <m:r>
          <m:t>15</m:t>
        </m:r>
      </m:oMath>
      <w:r>
        <w:t xml:space="preserve">).</w:t>
      </w:r>
    </w:p>
    <w:p>
      <w:pPr>
        <w:numPr>
          <w:ilvl w:val="0"/>
          <w:numId w:val="1011"/>
        </w:numPr>
      </w:pPr>
      <w:r>
        <w:rPr>
          <w:b/>
          <w:bCs/>
        </w:rPr>
        <w:t xml:space="preserve">Conclusión:</w:t>
      </w:r>
      <w:r>
        <w:t xml:space="preserve"> </w:t>
      </w:r>
      <w:r>
        <w:t xml:space="preserve">El shock en potencia activa ejerce un efecto</w:t>
      </w:r>
      <w:r>
        <w:t xml:space="preserve"> </w:t>
      </w:r>
      <w:r>
        <w:rPr>
          <w:b/>
          <w:bCs/>
        </w:rPr>
        <w:t xml:space="preserve">significativo, negativo y persistente</w:t>
      </w:r>
      <w:r>
        <w:t xml:space="preserve"> </w:t>
      </w:r>
      <w:r>
        <w:t xml:space="preserve">sobre la frecuencia. No es un efecto puramente transitorio que se disipe en pocos periodos; la dinámica del sistema muestra una constante de ajuste larga, coherente con un acoplamiento fuerte entre balance de potencia activa y regulación de frecuencia en el horizonte mensual analizado.</w:t>
      </w:r>
    </w:p>
    <w:bookmarkEnd w:id="47"/>
    <w:bookmarkStart w:id="48" w:name="Xba69a00e82de01475324decf65a1018b342333f"/>
    <w:p>
      <w:pPr>
        <w:pStyle w:val="Heading4"/>
      </w:pPr>
      <w:r>
        <w:t xml:space="preserve">b) ¿La potencia reactiva (MVAR) afecta significativamente a la potencia activa (MW)?</w:t>
      </w:r>
    </w:p>
    <w:p>
      <w:pPr>
        <w:pStyle w:val="FirstParagraph"/>
      </w:pPr>
      <w:r>
        <w:t xml:space="preserve">Analizando el panel derecho de la fila central (</w:t>
      </w:r>
      <w:r>
        <w:rPr>
          <w:rStyle w:val="VerbatimChar"/>
        </w:rPr>
        <w:t xml:space="preserve">potencia_reactiva_mvar → potencia_activa_mw</w:t>
      </w:r>
      <w:r>
        <w:t xml:space="preserve">):</w:t>
      </w:r>
    </w:p>
    <w:p>
      <w:pPr>
        <w:numPr>
          <w:ilvl w:val="0"/>
          <w:numId w:val="1012"/>
        </w:numPr>
      </w:pPr>
      <w:r>
        <w:rPr>
          <w:b/>
          <w:bCs/>
        </w:rPr>
        <w:t xml:space="preserve">Magnitud de la respuesta:</w:t>
      </w:r>
      <w:r>
        <w:t xml:space="preserve"> </w:t>
      </w:r>
      <w:r>
        <w:t xml:space="preserve">La FIR muestra valores pequeños (entre</w:t>
      </w:r>
      <w:r>
        <w:t xml:space="preserve"> </w:t>
      </w:r>
      <m:oMath>
        <m:r>
          <m:rPr>
            <m:sty m:val="p"/>
          </m:rPr>
          <m:t>−</m:t>
        </m:r>
        <m:r>
          <m:t>0</m:t>
        </m:r>
        <m:r>
          <m:rPr>
            <m:sty m:val="p"/>
          </m:rPr>
          <m:t>,</m:t>
        </m:r>
        <m:r>
          <m:t>05</m:t>
        </m:r>
      </m:oMath>
      <w:r>
        <w:t xml:space="preserve"> </w:t>
      </w:r>
      <w:r>
        <w:t xml:space="preserve">y</w:t>
      </w:r>
      <w:r>
        <w:t xml:space="preserve"> </w:t>
      </w:r>
      <m:oMath>
        <m:r>
          <m:rPr>
            <m:sty m:val="p"/>
          </m:rPr>
          <m:t>+</m:t>
        </m:r>
        <m:r>
          <m:t>0</m:t>
        </m:r>
        <m:r>
          <m:rPr>
            <m:sty m:val="p"/>
          </m:rPr>
          <m:t>,</m:t>
        </m:r>
        <m:r>
          <m:t>02</m:t>
        </m:r>
      </m:oMath>
      <w:r>
        <w:t xml:space="preserve">) a lo largo de los 20 periodos, indicando un efecto económicamente débil.</w:t>
      </w:r>
    </w:p>
    <w:p>
      <w:pPr>
        <w:numPr>
          <w:ilvl w:val="0"/>
          <w:numId w:val="1012"/>
        </w:numPr>
      </w:pPr>
      <w:r>
        <w:rPr>
          <w:b/>
          <w:bCs/>
        </w:rPr>
        <w:t xml:space="preserve">Bandas de confianza al 95 %:</w:t>
      </w:r>
      <w:r>
        <w:t xml:space="preserve"> </w:t>
      </w:r>
      <w:r>
        <w:t xml:space="preserve">Las bandas punteadas</w:t>
      </w:r>
      <w:r>
        <w:t xml:space="preserve"> </w:t>
      </w:r>
      <w:r>
        <w:rPr>
          <w:b/>
          <w:bCs/>
        </w:rPr>
        <w:t xml:space="preserve">incluyen consistentemente al cero</w:t>
      </w:r>
      <w:r>
        <w:t xml:space="preserve"> </w:t>
      </w:r>
      <w:r>
        <w:t xml:space="preserve">en todos los periodos del horizonte. En ningún punto del intervalo</w:t>
      </w:r>
      <w:r>
        <w:t xml:space="preserve"> </w:t>
      </w:r>
      <m:oMath>
        <m:r>
          <m:t>h</m:t>
        </m:r>
        <m:r>
          <m:rPr>
            <m:sty m:val="p"/>
          </m:rPr>
          <m:t>=</m:t>
        </m:r>
        <m:r>
          <m:t>0</m:t>
        </m:r>
        <m:r>
          <m:rPr>
            <m:sty m:val="p"/>
          </m:rPr>
          <m:t>,</m:t>
        </m:r>
        <m:r>
          <m:rPr>
            <m:sty m:val="p"/>
          </m:rPr>
          <m:t>…</m:t>
        </m:r>
        <m:r>
          <m:rPr>
            <m:sty m:val="p"/>
          </m:rPr>
          <m:t>,</m:t>
        </m:r>
        <m:r>
          <m:t>20</m:t>
        </m:r>
      </m:oMath>
      <w:r>
        <w:t xml:space="preserve"> </w:t>
      </w:r>
      <w:r>
        <w:t xml:space="preserve">el intervalo de confianza deja de cruzar la línea de referencia en cero.</w:t>
      </w:r>
    </w:p>
    <w:p>
      <w:pPr>
        <w:numPr>
          <w:ilvl w:val="0"/>
          <w:numId w:val="1012"/>
        </w:numPr>
      </w:pPr>
      <w:r>
        <w:rPr>
          <w:b/>
          <w:bCs/>
        </w:rPr>
        <w:t xml:space="preserve">Conclusión estadística:</w:t>
      </w:r>
      <w:r>
        <w:t xml:space="preserve"> </w:t>
      </w:r>
      <w:r>
        <w:rPr>
          <w:b/>
          <w:bCs/>
        </w:rPr>
        <w:t xml:space="preserve">No existe evidencia estadísticamente significativa</w:t>
      </w:r>
      <w:r>
        <w:t xml:space="preserve"> </w:t>
      </w:r>
      <w:r>
        <w:t xml:space="preserve">(al 5 %) de que un shock en potencia reactiva afecte a la potencia activa. Aunque las variables presentan correlación contemporánea en los residuos (</w:t>
      </w:r>
      <m:oMath>
        <m:r>
          <m:t>ρ</m:t>
        </m:r>
        <m:r>
          <m:rPr>
            <m:sty m:val="p"/>
          </m:rPr>
          <m:t>=</m:t>
        </m:r>
        <m:r>
          <m:t>0</m:t>
        </m:r>
        <m:r>
          <m:rPr>
            <m:sty m:val="p"/>
          </m:rPr>
          <m:t>,</m:t>
        </m:r>
        <m:r>
          <m:t>554</m:t>
        </m:r>
      </m:oMath>
      <w:r>
        <w:t xml:space="preserve">), la relación dinámica causal identificada por la FIR ortogonalizada (con Cholesky</w:t>
      </w:r>
      <w:r>
        <w:t xml:space="preserve"> </w:t>
      </w:r>
      <m:oMath>
        <m:r>
          <m:rPr>
            <m:sty m:val="p"/>
          </m:rPr>
          <m:t>[</m:t>
        </m:r>
        <m:r>
          <m:t>f</m:t>
        </m:r>
        <m:r>
          <m:rPr>
            <m:sty m:val="p"/>
          </m:rPr>
          <m:t>,</m:t>
        </m:r>
        <m:r>
          <m:t>P</m:t>
        </m:r>
        <m:r>
          <m:rPr>
            <m:sty m:val="p"/>
          </m:rPr>
          <m:t>,</m:t>
        </m:r>
        <m:r>
          <m:t>Q</m:t>
        </m:r>
        <m:r>
          <m:rPr>
            <m:sty m:val="p"/>
          </m:rPr>
          <m:t>]</m:t>
        </m:r>
      </m:oMath>
      <w:r>
        <w:t xml:space="preserve">) no confirma un canal de transmisión de</w:t>
      </w:r>
      <w:r>
        <w:t xml:space="preserve"> </w:t>
      </w:r>
      <m:oMath>
        <m:r>
          <m:t>Q</m:t>
        </m:r>
        <m:r>
          <m:rPr>
            <m:sty m:val="p"/>
          </m:rPr>
          <m:t>→</m:t>
        </m:r>
        <m:r>
          <m:t>P</m:t>
        </m:r>
      </m:oMath>
      <w:r>
        <w:t xml:space="preserve"> </w:t>
      </w:r>
      <w:r>
        <w:t xml:space="preserve">en el horizonte mensual.</w:t>
      </w:r>
    </w:p>
    <w:p>
      <w:pPr>
        <w:numPr>
          <w:ilvl w:val="0"/>
          <w:numId w:val="1012"/>
        </w:numPr>
      </w:pPr>
      <w:r>
        <w:rPr>
          <w:b/>
          <w:bCs/>
        </w:rPr>
        <w:t xml:space="preserve">Implicación operativa:</w:t>
      </w:r>
      <w:r>
        <w:t xml:space="preserve"> </w:t>
      </w:r>
      <w:r>
        <w:t xml:space="preserve">Para el despacho y control del sistema, la potencia reactiva puede gestionarse (compensación, bancos de capacitores) con efecto limitado sobre la potencia activa despachada, al menos en la escala temporal mensual de este análisis.</w:t>
      </w:r>
    </w:p>
    <w:p>
      <w:r>
        <w:pict>
          <v:rect style="width:0;height:1.5pt" o:hralign="center" o:hrstd="t" o:hr="t"/>
        </w:pict>
      </w:r>
    </w:p>
    <w:bookmarkEnd w:id="48"/>
    <w:bookmarkEnd w:id="49"/>
    <w:bookmarkStart w:id="50" w:name="código-python-utilizado"/>
    <w:p>
      <w:pPr>
        <w:pStyle w:val="Heading3"/>
      </w:pPr>
      <w:r>
        <w:t xml:space="preserve">Código Python utilizado</w:t>
      </w:r>
    </w:p>
    <w:p>
      <w:pPr>
        <w:pStyle w:val="SourceCode"/>
      </w:pPr>
      <w:r>
        <w:rPr>
          <w:rStyle w:val="CommentTok"/>
        </w:rPr>
        <w:t xml:space="preserve"># %% Imports y configuración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statsmodels.tsa.api </w:t>
      </w:r>
      <w:r>
        <w:rPr>
          <w:rStyle w:val="ImportTok"/>
        </w:rPr>
        <w:t xml:space="preserve">import</w:t>
      </w:r>
      <w:r>
        <w:rPr>
          <w:rStyle w:val="NormalTok"/>
        </w:rPr>
        <w:t xml:space="preserve"> VAR</w:t>
      </w:r>
      <w:r>
        <w:br/>
      </w:r>
      <w:r>
        <w:br/>
      </w:r>
      <w:r>
        <w:rPr>
          <w:rStyle w:val="NormalTok"/>
        </w:rPr>
        <w:t xml:space="preserve">RUTA_BASE </w:t>
      </w:r>
      <w:r>
        <w:rPr>
          <w:rStyle w:val="OperatorTok"/>
        </w:rPr>
        <w:t xml:space="preserve">=</w:t>
      </w:r>
      <w:r>
        <w:rPr>
          <w:rStyle w:val="NormalTok"/>
        </w:rPr>
        <w:t xml:space="preserve"> Path(</w:t>
      </w:r>
      <w:r>
        <w:rPr>
          <w:rStyle w:val="VariableTok"/>
        </w:rPr>
        <w:t xml:space="preserve">__file__</w:t>
      </w:r>
      <w:r>
        <w:rPr>
          <w:rStyle w:val="NormalTok"/>
        </w:rPr>
        <w:t xml:space="preserve">).resolve().parent.parent</w:t>
      </w:r>
      <w:r>
        <w:br/>
      </w:r>
      <w:r>
        <w:rPr>
          <w:rStyle w:val="NormalTok"/>
        </w:rPr>
        <w:t xml:space="preserve">RUTA_EXCEL </w:t>
      </w:r>
      <w:r>
        <w:rPr>
          <w:rStyle w:val="OperatorTok"/>
        </w:rPr>
        <w:t xml:space="preserve">=</w:t>
      </w:r>
      <w:r>
        <w:rPr>
          <w:rStyle w:val="NormalTok"/>
        </w:rPr>
        <w:t xml:space="preserve"> RUTA_BASE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"base_datos_var.xlsx"</w:t>
      </w:r>
      <w:r>
        <w:br/>
      </w:r>
      <w:r>
        <w:rPr>
          <w:rStyle w:val="NormalTok"/>
        </w:rPr>
        <w:t xml:space="preserve">RUTA_GRAFICOS </w:t>
      </w:r>
      <w:r>
        <w:rPr>
          <w:rStyle w:val="OperatorTok"/>
        </w:rPr>
        <w:t xml:space="preserve">=</w:t>
      </w:r>
      <w:r>
        <w:rPr>
          <w:rStyle w:val="NormalTok"/>
        </w:rPr>
        <w:t xml:space="preserve"> RUTA_BASE </w:t>
      </w:r>
      <w:r>
        <w:rPr>
          <w:rStyle w:val="OperatorTok"/>
        </w:rPr>
        <w:t xml:space="preserve">/</w:t>
      </w:r>
      <w:r>
        <w:rPr>
          <w:rStyle w:val="NormalTok"/>
        </w:rPr>
        <w:t xml:space="preserve"> </w:t>
      </w:r>
      <w:r>
        <w:rPr>
          <w:rStyle w:val="StringTok"/>
        </w:rPr>
        <w:t xml:space="preserve">"sesiones"</w:t>
      </w:r>
      <w:r>
        <w:rPr>
          <w:rStyle w:val="NormalTok"/>
        </w:rPr>
        <w:t xml:space="preserve"> </w:t>
      </w:r>
      <w:r>
        <w:rPr>
          <w:rStyle w:val="OperatorTok"/>
        </w:rPr>
        <w:t xml:space="preserve">/</w:t>
      </w:r>
      <w:r>
        <w:rPr>
          <w:rStyle w:val="NormalTok"/>
        </w:rPr>
        <w:t xml:space="preserve"> </w:t>
      </w:r>
      <w:r>
        <w:rPr>
          <w:rStyle w:val="StringTok"/>
        </w:rPr>
        <w:t xml:space="preserve">"graficos"</w:t>
      </w:r>
      <w:r>
        <w:br/>
      </w:r>
      <w:r>
        <w:rPr>
          <w:rStyle w:val="NormalTok"/>
        </w:rPr>
        <w:t xml:space="preserve">RUTA_GRAFICOS.mkdir(parents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VARIABLES </w:t>
      </w:r>
      <w:r>
        <w:rPr>
          <w:rStyle w:val="OperatorTok"/>
        </w:rPr>
        <w:t xml:space="preserve">=</w:t>
      </w:r>
      <w:r>
        <w:rPr>
          <w:rStyle w:val="NormalTok"/>
        </w:rPr>
        <w:t xml:space="preserve"> [</w:t>
      </w:r>
      <w:r>
        <w:rPr>
          <w:rStyle w:val="StringTok"/>
        </w:rPr>
        <w:t xml:space="preserve">"frecuencia_hz"</w:t>
      </w:r>
      <w:r>
        <w:rPr>
          <w:rStyle w:val="NormalTok"/>
        </w:rPr>
        <w:t xml:space="preserve">, </w:t>
      </w:r>
      <w:r>
        <w:rPr>
          <w:rStyle w:val="StringTok"/>
        </w:rPr>
        <w:t xml:space="preserve">"potencia_activa_mw"</w:t>
      </w:r>
      <w:r>
        <w:rPr>
          <w:rStyle w:val="NormalTok"/>
        </w:rPr>
        <w:t xml:space="preserve">, </w:t>
      </w:r>
      <w:r>
        <w:rPr>
          <w:rStyle w:val="StringTok"/>
        </w:rPr>
        <w:t xml:space="preserve">"potencia_reactiva_mvar"</w:t>
      </w:r>
      <w:r>
        <w:rPr>
          <w:rStyle w:val="NormalTok"/>
        </w:rPr>
        <w:t xml:space="preserve">]</w:t>
      </w:r>
      <w:r>
        <w:br/>
      </w:r>
      <w:r>
        <w:rPr>
          <w:rStyle w:val="NormalTok"/>
        </w:rPr>
        <w:t xml:space="preserve">ETIQUETAS </w:t>
      </w:r>
      <w:r>
        <w:rPr>
          <w:rStyle w:val="OperatorTok"/>
        </w:rPr>
        <w:t xml:space="preserve">=</w:t>
      </w:r>
      <w:r>
        <w:rPr>
          <w:rStyle w:val="NormalTok"/>
        </w:rPr>
        <w:t xml:space="preserve"> {</w:t>
      </w:r>
      <w:r>
        <w:br/>
      </w:r>
      <w:r>
        <w:rPr>
          <w:rStyle w:val="NormalTok"/>
        </w:rPr>
        <w:t xml:space="preserve">    </w:t>
      </w:r>
      <w:r>
        <w:rPr>
          <w:rStyle w:val="StringTok"/>
        </w:rPr>
        <w:t xml:space="preserve">"frecuencia_hz"</w:t>
      </w:r>
      <w:r>
        <w:rPr>
          <w:rStyle w:val="NormalTok"/>
        </w:rPr>
        <w:t xml:space="preserve">: </w:t>
      </w:r>
      <w:r>
        <w:rPr>
          <w:rStyle w:val="StringTok"/>
        </w:rPr>
        <w:t xml:space="preserve">"Frecuencia (Hz)"</w:t>
      </w:r>
      <w:r>
        <w:rPr>
          <w:rStyle w:val="NormalTok"/>
        </w:rPr>
        <w:t xml:space="preserve">,</w:t>
      </w:r>
      <w:r>
        <w:br/>
      </w:r>
      <w:r>
        <w:rPr>
          <w:rStyle w:val="NormalTok"/>
        </w:rPr>
        <w:t xml:space="preserve">    </w:t>
      </w:r>
      <w:r>
        <w:rPr>
          <w:rStyle w:val="StringTok"/>
        </w:rPr>
        <w:t xml:space="preserve">"potencia_activa_mw"</w:t>
      </w:r>
      <w:r>
        <w:rPr>
          <w:rStyle w:val="NormalTok"/>
        </w:rPr>
        <w:t xml:space="preserve">: </w:t>
      </w:r>
      <w:r>
        <w:rPr>
          <w:rStyle w:val="StringTok"/>
        </w:rPr>
        <w:t xml:space="preserve">"Potencia Activa (MW)"</w:t>
      </w:r>
      <w:r>
        <w:rPr>
          <w:rStyle w:val="NormalTok"/>
        </w:rPr>
        <w:t xml:space="preserve">,</w:t>
      </w:r>
      <w:r>
        <w:br/>
      </w:r>
      <w:r>
        <w:rPr>
          <w:rStyle w:val="NormalTok"/>
        </w:rPr>
        <w:t xml:space="preserve">    </w:t>
      </w:r>
      <w:r>
        <w:rPr>
          <w:rStyle w:val="StringTok"/>
        </w:rPr>
        <w:t xml:space="preserve">"potencia_reactiva_mvar"</w:t>
      </w:r>
      <w:r>
        <w:rPr>
          <w:rStyle w:val="NormalTok"/>
        </w:rPr>
        <w:t xml:space="preserve">: </w:t>
      </w:r>
      <w:r>
        <w:rPr>
          <w:rStyle w:val="StringTok"/>
        </w:rPr>
        <w:t xml:space="preserve">"Potencia Reactiva (MVAR)"</w:t>
      </w:r>
      <w:r>
        <w:rPr>
          <w:rStyle w:val="NormalTok"/>
        </w:rPr>
        <w:t xml:space="preserve">,</w:t>
      </w:r>
      <w:r>
        <w:br/>
      </w:r>
      <w:r>
        <w:rPr>
          <w:rStyle w:val="NormalTok"/>
        </w:rPr>
        <w:t xml:space="preserve">}</w:t>
      </w:r>
      <w:r>
        <w:br/>
      </w:r>
      <w:r>
        <w:br/>
      </w:r>
      <w:r>
        <w:rPr>
          <w:rStyle w:val="CommentTok"/>
        </w:rPr>
        <w:t xml:space="preserve"># %% Requerimiento 1 — Importación y visualización</w:t>
      </w:r>
      <w:r>
        <w:br/>
      </w:r>
      <w:r>
        <w:rPr>
          <w:rStyle w:val="NormalTok"/>
        </w:rPr>
        <w:t xml:space="preserve">df </w:t>
      </w:r>
      <w:r>
        <w:rPr>
          <w:rStyle w:val="OperatorTok"/>
        </w:rPr>
        <w:t xml:space="preserve">=</w:t>
      </w:r>
      <w:r>
        <w:rPr>
          <w:rStyle w:val="NormalTok"/>
        </w:rPr>
        <w:t xml:space="preserve"> pd.read_excel(RUTA_EXCEL)</w:t>
      </w:r>
      <w:r>
        <w:br/>
      </w:r>
      <w:r>
        <w:rPr>
          <w:rStyle w:val="NormalTok"/>
        </w:rPr>
        <w:t xml:space="preserve">df[</w:t>
      </w:r>
      <w:r>
        <w:rPr>
          <w:rStyle w:val="StringTok"/>
        </w:rPr>
        <w:t xml:space="preserve">"timestamp"</w:t>
      </w:r>
      <w:r>
        <w:rPr>
          <w:rStyle w:val="NormalTok"/>
        </w:rPr>
        <w:t xml:space="preserve">] </w:t>
      </w:r>
      <w:r>
        <w:rPr>
          <w:rStyle w:val="OperatorTok"/>
        </w:rPr>
        <w:t xml:space="preserve">=</w:t>
      </w:r>
      <w:r>
        <w:rPr>
          <w:rStyle w:val="NormalTok"/>
        </w:rPr>
        <w:t xml:space="preserve"> pd.to_datetime(df[</w:t>
      </w:r>
      <w:r>
        <w:rPr>
          <w:rStyle w:val="StringTok"/>
        </w:rPr>
        <w:t xml:space="preserve">"timestamp"</w:t>
      </w:r>
      <w:r>
        <w:rPr>
          <w:rStyle w:val="NormalTok"/>
        </w:rPr>
        <w:t xml:space="preserve">])</w:t>
      </w:r>
      <w:r>
        <w:br/>
      </w:r>
      <w:r>
        <w:rPr>
          <w:rStyle w:val="NormalTok"/>
        </w:rPr>
        <w:t xml:space="preserve">df </w:t>
      </w:r>
      <w:r>
        <w:rPr>
          <w:rStyle w:val="OperatorTok"/>
        </w:rPr>
        <w:t xml:space="preserve">=</w:t>
      </w:r>
      <w:r>
        <w:rPr>
          <w:rStyle w:val="NormalTok"/>
        </w:rPr>
        <w:t xml:space="preserve"> df.set_index(</w:t>
      </w:r>
      <w:r>
        <w:rPr>
          <w:rStyle w:val="StringTok"/>
        </w:rPr>
        <w:t xml:space="preserve">"timestamp"</w:t>
      </w:r>
      <w:r>
        <w:rPr>
          <w:rStyle w:val="NormalTok"/>
        </w:rPr>
        <w:t xml:space="preserve">)</w:t>
      </w:r>
      <w:r>
        <w:br/>
      </w:r>
      <w:r>
        <w:rPr>
          <w:rStyle w:val="NormalTok"/>
        </w:rPr>
        <w:t xml:space="preserve">df.index </w:t>
      </w:r>
      <w:r>
        <w:rPr>
          <w:rStyle w:val="OperatorTok"/>
        </w:rPr>
        <w:t xml:space="preserve">=</w:t>
      </w:r>
      <w:r>
        <w:rPr>
          <w:rStyle w:val="NormalTok"/>
        </w:rPr>
        <w:t xml:space="preserve"> pd.DatetimeIndex(df.index, freq</w:t>
      </w:r>
      <w:r>
        <w:rPr>
          <w:rStyle w:val="OperatorTok"/>
        </w:rPr>
        <w:t xml:space="preserve">=</w:t>
      </w:r>
      <w:r>
        <w:rPr>
          <w:rStyle w:val="StringTok"/>
        </w:rPr>
        <w:t xml:space="preserve">"MS"</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col </w:t>
      </w:r>
      <w:r>
        <w:rPr>
          <w:rStyle w:val="KeywordTok"/>
        </w:rPr>
        <w:t xml:space="preserve">in</w:t>
      </w:r>
      <w:r>
        <w:rPr>
          <w:rStyle w:val="NormalTok"/>
        </w:rPr>
        <w:t xml:space="preserve"> VARIABLES:</w:t>
      </w:r>
      <w:r>
        <w:br/>
      </w:r>
      <w:r>
        <w:rPr>
          <w:rStyle w:val="NormalTok"/>
        </w:rPr>
        <w:t xml:space="preserve">    ax.plot(df.index, df[col], label</w:t>
      </w:r>
      <w:r>
        <w:rPr>
          <w:rStyle w:val="OperatorTok"/>
        </w:rPr>
        <w:t xml:space="preserve">=</w:t>
      </w:r>
      <w:r>
        <w:rPr>
          <w:rStyle w:val="NormalTok"/>
        </w:rPr>
        <w:t xml:space="preserve">ETIQUETAS[col], linewidth</w:t>
      </w:r>
      <w:r>
        <w:rPr>
          <w:rStyle w:val="OperatorTok"/>
        </w:rPr>
        <w:t xml:space="preserve">=</w:t>
      </w:r>
      <w:r>
        <w:rPr>
          <w:rStyle w:val="FloatTok"/>
        </w:rPr>
        <w:t xml:space="preserve">1.5</w:t>
      </w:r>
      <w:r>
        <w:rPr>
          <w:rStyle w:val="NormalTok"/>
        </w:rPr>
        <w:t xml:space="preserve">)</w:t>
      </w:r>
      <w:r>
        <w:br/>
      </w:r>
      <w:r>
        <w:rPr>
          <w:rStyle w:val="NormalTok"/>
        </w:rPr>
        <w:t xml:space="preserve">ax.set_title(</w:t>
      </w:r>
      <w:r>
        <w:rPr>
          <w:rStyle w:val="StringTok"/>
        </w:rPr>
        <w:t xml:space="preserve">"Evolución conjunta: Frecuencia, Potencia Activa y Reactiva"</w:t>
      </w:r>
      <w:r>
        <w:rPr>
          <w:rStyle w:val="NormalTok"/>
        </w:rPr>
        <w:t xml:space="preserve">)</w:t>
      </w:r>
      <w:r>
        <w:br/>
      </w:r>
      <w:r>
        <w:rPr>
          <w:rStyle w:val="NormalTok"/>
        </w:rPr>
        <w:t xml:space="preserve">ax.set_xlabel(</w:t>
      </w:r>
      <w:r>
        <w:rPr>
          <w:rStyle w:val="StringTok"/>
        </w:rPr>
        <w:t xml:space="preserve">"Fecha"</w:t>
      </w:r>
      <w:r>
        <w:rPr>
          <w:rStyle w:val="NormalTok"/>
        </w:rPr>
        <w:t xml:space="preserve">)</w:t>
      </w:r>
      <w:r>
        <w:br/>
      </w:r>
      <w:r>
        <w:rPr>
          <w:rStyle w:val="NormalTok"/>
        </w:rPr>
        <w:t xml:space="preserve">ax.set_ylabel(</w:t>
      </w:r>
      <w:r>
        <w:rPr>
          <w:rStyle w:val="StringTok"/>
        </w:rPr>
        <w:t xml:space="preserve">"Magnitud"</w:t>
      </w:r>
      <w:r>
        <w:rPr>
          <w:rStyle w:val="NormalTok"/>
        </w:rPr>
        <w:t xml:space="preserve">)</w:t>
      </w:r>
      <w:r>
        <w:br/>
      </w:r>
      <w:r>
        <w:rPr>
          <w:rStyle w:val="NormalTok"/>
        </w:rPr>
        <w:t xml:space="preserve">ax.legend(loc</w:t>
      </w:r>
      <w:r>
        <w:rPr>
          <w:rStyle w:val="OperatorTok"/>
        </w:rPr>
        <w:t xml:space="preserve">=</w:t>
      </w:r>
      <w:r>
        <w:rPr>
          <w:rStyle w:val="StringTok"/>
        </w:rPr>
        <w:t xml:space="preserve">"best"</w:t>
      </w:r>
      <w:r>
        <w:rPr>
          <w:rStyle w:val="NormalTok"/>
        </w:rPr>
        <w:t xml:space="preserve">)</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plt.savefig(RUTA_GRAFICOS </w:t>
      </w:r>
      <w:r>
        <w:rPr>
          <w:rStyle w:val="OperatorTok"/>
        </w:rPr>
        <w:t xml:space="preserve">/</w:t>
      </w:r>
      <w:r>
        <w:rPr>
          <w:rStyle w:val="NormalTok"/>
        </w:rPr>
        <w:t xml:space="preserve"> </w:t>
      </w:r>
      <w:r>
        <w:rPr>
          <w:rStyle w:val="StringTok"/>
        </w:rPr>
        <w:t xml:space="preserve">"series_temporales_superpuestas.png"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plt.close()</w:t>
      </w:r>
      <w:r>
        <w:br/>
      </w:r>
      <w:r>
        <w:br/>
      </w:r>
      <w:r>
        <w:rPr>
          <w:rStyle w:val="CommentTok"/>
        </w:rPr>
        <w:t xml:space="preserve"># %% Requerimiento 2 — Selección de rezagos y estimación VAR</w:t>
      </w:r>
      <w:r>
        <w:br/>
      </w:r>
      <w:r>
        <w:rPr>
          <w:rStyle w:val="NormalTok"/>
        </w:rPr>
        <w:t xml:space="preserve">datos_var </w:t>
      </w:r>
      <w:r>
        <w:rPr>
          <w:rStyle w:val="OperatorTok"/>
        </w:rPr>
        <w:t xml:space="preserve">=</w:t>
      </w:r>
      <w:r>
        <w:rPr>
          <w:rStyle w:val="NormalTok"/>
        </w:rPr>
        <w:t xml:space="preserve"> df[VARIABLES].dropna()</w:t>
      </w:r>
      <w:r>
        <w:br/>
      </w:r>
      <w:r>
        <w:rPr>
          <w:rStyle w:val="NormalTok"/>
        </w:rPr>
        <w:t xml:space="preserve">modelo </w:t>
      </w:r>
      <w:r>
        <w:rPr>
          <w:rStyle w:val="OperatorTok"/>
        </w:rPr>
        <w:t xml:space="preserve">=</w:t>
      </w:r>
      <w:r>
        <w:rPr>
          <w:rStyle w:val="NormalTok"/>
        </w:rPr>
        <w:t xml:space="preserve"> VAR(datos_var)</w:t>
      </w:r>
      <w:r>
        <w:br/>
      </w:r>
      <w:r>
        <w:rPr>
          <w:rStyle w:val="NormalTok"/>
        </w:rPr>
        <w:t xml:space="preserve">seleccion </w:t>
      </w:r>
      <w:r>
        <w:rPr>
          <w:rStyle w:val="OperatorTok"/>
        </w:rPr>
        <w:t xml:space="preserve">=</w:t>
      </w:r>
      <w:r>
        <w:rPr>
          <w:rStyle w:val="NormalTok"/>
        </w:rPr>
        <w:t xml:space="preserve"> modelo.select_order(maxlags</w:t>
      </w:r>
      <w:r>
        <w:rPr>
          <w:rStyle w:val="OperatorTok"/>
        </w:rPr>
        <w:t xml:space="preserve">=</w:t>
      </w:r>
      <w:r>
        <w:rPr>
          <w:rStyle w:val="DecValTok"/>
        </w:rPr>
        <w:t xml:space="preserve">12</w:t>
      </w:r>
      <w:r>
        <w:rPr>
          <w:rStyle w:val="NormalTok"/>
        </w:rPr>
        <w:t xml:space="preserve">)</w:t>
      </w:r>
      <w:r>
        <w:br/>
      </w:r>
      <w:r>
        <w:rPr>
          <w:rStyle w:val="NormalTok"/>
        </w:rPr>
        <w:t xml:space="preserve">p_aic </w:t>
      </w:r>
      <w:r>
        <w:rPr>
          <w:rStyle w:val="OperatorTok"/>
        </w:rPr>
        <w:t xml:space="preserve">=</w:t>
      </w:r>
      <w:r>
        <w:rPr>
          <w:rStyle w:val="NormalTok"/>
        </w:rPr>
        <w:t xml:space="preserve"> seleccion.aic</w:t>
      </w:r>
      <w:r>
        <w:br/>
      </w:r>
      <w:r>
        <w:rPr>
          <w:rStyle w:val="NormalTok"/>
        </w:rPr>
        <w:t xml:space="preserve">resultado_var </w:t>
      </w:r>
      <w:r>
        <w:rPr>
          <w:rStyle w:val="OperatorTok"/>
        </w:rPr>
        <w:t xml:space="preserve">=</w:t>
      </w:r>
      <w:r>
        <w:rPr>
          <w:rStyle w:val="NormalTok"/>
        </w:rPr>
        <w:t xml:space="preserve"> modelo.fit(p_aic)</w:t>
      </w:r>
      <w:r>
        <w:br/>
      </w:r>
      <w:r>
        <w:br/>
      </w:r>
      <w:r>
        <w:rPr>
          <w:rStyle w:val="CommentTok"/>
        </w:rPr>
        <w:t xml:space="preserve"># %% Requerimiento 3 — FIR ortogonalizadas (20 periodos)</w:t>
      </w:r>
      <w:r>
        <w:br/>
      </w:r>
      <w:r>
        <w:rPr>
          <w:rStyle w:val="NormalTok"/>
        </w:rPr>
        <w:t xml:space="preserve">irf </w:t>
      </w:r>
      <w:r>
        <w:rPr>
          <w:rStyle w:val="OperatorTok"/>
        </w:rPr>
        <w:t xml:space="preserve">=</w:t>
      </w:r>
      <w:r>
        <w:rPr>
          <w:rStyle w:val="NormalTok"/>
        </w:rPr>
        <w:t xml:space="preserve"> resultado_var.irf(</w:t>
      </w:r>
      <w:r>
        <w:rPr>
          <w:rStyle w:val="DecValTok"/>
        </w:rPr>
        <w:t xml:space="preserve">20</w:t>
      </w:r>
      <w:r>
        <w:rPr>
          <w:rStyle w:val="NormalTok"/>
        </w:rPr>
        <w:t xml:space="preserve">)</w:t>
      </w:r>
      <w:r>
        <w:br/>
      </w:r>
      <w:r>
        <w:rPr>
          <w:rStyle w:val="NormalTok"/>
        </w:rPr>
        <w:t xml:space="preserve">fig </w:t>
      </w:r>
      <w:r>
        <w:rPr>
          <w:rStyle w:val="OperatorTok"/>
        </w:rPr>
        <w:t xml:space="preserve">=</w:t>
      </w:r>
      <w:r>
        <w:rPr>
          <w:rStyle w:val="NormalTok"/>
        </w:rPr>
        <w:t xml:space="preserve"> irf.plot(orth</w:t>
      </w:r>
      <w:r>
        <w:rPr>
          <w:rStyle w:val="OperatorTok"/>
        </w:rPr>
        <w:t xml:space="preserve">=</w:t>
      </w:r>
      <w:r>
        <w:rPr>
          <w:rStyle w:val="VariableTok"/>
        </w:rPr>
        <w:t xml:space="preserve">True</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rPr>
          <w:rStyle w:val="NormalTok"/>
        </w:rPr>
        <w:t xml:space="preserve">fig.suptitle(</w:t>
      </w:r>
      <w:r>
        <w:rPr>
          <w:rStyle w:val="StringTok"/>
        </w:rPr>
        <w:t xml:space="preserve">"FIR Ortogonalizadas — Matriz 3×3 (20 periodos)"</w:t>
      </w:r>
      <w:r>
        <w:rPr>
          <w:rStyle w:val="NormalTok"/>
        </w:rPr>
        <w:t xml:space="preserve">, fontsize</w:t>
      </w:r>
      <w:r>
        <w:rPr>
          <w:rStyle w:val="OperatorTok"/>
        </w:rPr>
        <w:t xml:space="preserve">=</w:t>
      </w:r>
      <w:r>
        <w:rPr>
          <w:rStyle w:val="DecValTok"/>
        </w:rPr>
        <w:t xml:space="preserve">14</w:t>
      </w:r>
      <w:r>
        <w:rPr>
          <w:rStyle w:val="NormalTok"/>
        </w:rPr>
        <w:t xml:space="preserve">, y</w:t>
      </w:r>
      <w:r>
        <w:rPr>
          <w:rStyle w:val="OperatorTok"/>
        </w:rPr>
        <w:t xml:space="preserve">=</w:t>
      </w:r>
      <w:r>
        <w:rPr>
          <w:rStyle w:val="FloatTok"/>
        </w:rPr>
        <w:t xml:space="preserve">1.01</w:t>
      </w:r>
      <w:r>
        <w:rPr>
          <w:rStyle w:val="NormalTok"/>
        </w:rPr>
        <w:t xml:space="preserve">)</w:t>
      </w:r>
      <w:r>
        <w:br/>
      </w:r>
      <w:r>
        <w:rPr>
          <w:rStyle w:val="NormalTok"/>
        </w:rPr>
        <w:t xml:space="preserve">plt.tight_layout()</w:t>
      </w:r>
      <w:r>
        <w:br/>
      </w:r>
      <w:r>
        <w:rPr>
          <w:rStyle w:val="NormalTok"/>
        </w:rPr>
        <w:t xml:space="preserve">plt.savefig(RUTA_GRAFICOS </w:t>
      </w:r>
      <w:r>
        <w:rPr>
          <w:rStyle w:val="OperatorTok"/>
        </w:rPr>
        <w:t xml:space="preserve">/</w:t>
      </w:r>
      <w:r>
        <w:rPr>
          <w:rStyle w:val="NormalTok"/>
        </w:rPr>
        <w:t xml:space="preserve"> </w:t>
      </w:r>
      <w:r>
        <w:rPr>
          <w:rStyle w:val="StringTok"/>
        </w:rPr>
        <w:t xml:space="preserve">"fir_matriz_ortogonalizada.png"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plt.close()</w:t>
      </w:r>
    </w:p>
    <w:p>
      <w:r>
        <w:pict>
          <v:rect style="width:0;height:1.5pt" o:hralign="center" o:hrstd="t" o:hr="t"/>
        </w:pict>
      </w:r>
    </w:p>
    <w:p>
      <w:pPr>
        <w:pStyle w:val="BlockText"/>
      </w:pPr>
      <w:r>
        <w:rPr>
          <w:i/>
          <w:iCs/>
        </w:rPr>
        <w:t xml:space="preserve">“La simulación es el puente entre la teoría estocástica y la operación real del sistema de potencia.”</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2026-06-18T04:48:00Z</dcterms:created>
  <dcterms:modified xsi:type="dcterms:W3CDTF">2026-06-18T04:48:00Z</dcterms:modified>
</cp:coreProperties>
</file>

<file path=docProps/custom.xml><?xml version="1.0" encoding="utf-8"?>
<Properties xmlns="http://schemas.openxmlformats.org/officeDocument/2006/custom-properties" xmlns:vt="http://schemas.openxmlformats.org/officeDocument/2006/docPropsVTypes"/>
</file>