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40F2" w:rsidRDefault="00000000">
      <w:pPr>
        <w:spacing w:after="60"/>
        <w:jc w:val="center"/>
      </w:pPr>
      <w:r>
        <w:rPr>
          <w:b/>
          <w:sz w:val="21"/>
        </w:rPr>
        <w:t>Supplementary Table S1. Complete model parameterization, evidence provenance, harmonization, and model role</w:t>
      </w:r>
    </w:p>
    <w:p w:rsidR="00F940F2" w:rsidRDefault="00000000">
      <w:pPr>
        <w:spacing w:after="80" w:line="228" w:lineRule="auto"/>
        <w:jc w:val="both"/>
      </w:pPr>
      <w:r>
        <w:t>Values correspond to the final scenario-based Monte Carlo model reported in Sections 2–3. Tri(a, m, b) denotes a triangular distribution with minimum a, mode m, and maximum b. Primary results use fLUC = 0 and λbio = λsoil = 0; land-use and carbon-credit parameters are activated only in structural analyses. Evidence classes follow Table 2 of the main manuscript: A = direct Colombian empirical evidence; B = Colombian national/statistical/spatial or modeled evidence; C = authoritative international/default or comparable tropical evidence; D = explicit modeling/structural assumption.</w:t>
      </w:r>
    </w:p>
    <w:p w:rsidR="00F940F2" w:rsidRDefault="00000000">
      <w:pPr>
        <w:spacing w:before="60" w:after="40"/>
      </w:pPr>
      <w:r>
        <w:rPr>
          <w:b/>
          <w:sz w:val="17"/>
        </w:rPr>
        <w:t>Panel A. Scenario-specific production and emission parameters</w:t>
      </w:r>
    </w:p>
    <w:tbl>
      <w:tblPr>
        <w:tblStyle w:val="Tablaconcuadrcula"/>
        <w:tblW w:w="0" w:type="auto"/>
        <w:jc w:val="center"/>
        <w:tblLayout w:type="fixed"/>
        <w:tblLook w:val="04A0" w:firstRow="1" w:lastRow="0" w:firstColumn="1" w:lastColumn="0" w:noHBand="0" w:noVBand="1"/>
      </w:tblPr>
      <w:tblGrid>
        <w:gridCol w:w="1152"/>
        <w:gridCol w:w="1800"/>
        <w:gridCol w:w="1325"/>
        <w:gridCol w:w="1037"/>
        <w:gridCol w:w="1872"/>
        <w:gridCol w:w="1699"/>
        <w:gridCol w:w="749"/>
        <w:gridCol w:w="5342"/>
      </w:tblGrid>
      <w:tr w:rsidR="00F940F2">
        <w:trPr>
          <w:cantSplit/>
          <w:tblHeader/>
          <w:jc w:val="center"/>
        </w:trPr>
        <w:tc>
          <w:tcPr>
            <w:tcW w:w="115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Block</w:t>
            </w:r>
          </w:p>
        </w:tc>
        <w:tc>
          <w:tcPr>
            <w:tcW w:w="1800"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Parameter (symbol)</w:t>
            </w:r>
          </w:p>
        </w:tc>
        <w:tc>
          <w:tcPr>
            <w:tcW w:w="1325"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Scenario / setting</w:t>
            </w:r>
          </w:p>
        </w:tc>
        <w:tc>
          <w:tcPr>
            <w:tcW w:w="1037"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Status</w:t>
            </w:r>
          </w:p>
        </w:tc>
        <w:tc>
          <w:tcPr>
            <w:tcW w:w="187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Distribution / value</w:t>
            </w:r>
          </w:p>
        </w:tc>
        <w:tc>
          <w:tcPr>
            <w:tcW w:w="169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Model unit</w:t>
            </w:r>
          </w:p>
        </w:tc>
        <w:tc>
          <w:tcPr>
            <w:tcW w:w="74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Evidence</w:t>
            </w:r>
          </w:p>
        </w:tc>
        <w:tc>
          <w:tcPr>
            <w:tcW w:w="534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left"/>
            </w:pPr>
            <w:r>
              <w:rPr>
                <w:b/>
                <w:sz w:val="14"/>
              </w:rPr>
              <w:t>Source, original unit, harmonization, and dependency</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Stocking rate (SR)</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Tri(0.50, 0.85, 1.00)</w:t>
            </w:r>
          </w:p>
        </w:tc>
        <w:tc>
          <w:tcPr>
            <w:tcW w:w="1699" w:type="dxa"/>
            <w:tcMar>
              <w:top w:w="25" w:type="dxa"/>
              <w:left w:w="45" w:type="dxa"/>
              <w:bottom w:w="25" w:type="dxa"/>
              <w:right w:w="45" w:type="dxa"/>
              <w:start w:w="35" w:type="dxa"/>
              <w:end w:w="35" w:type="dxa"/>
            </w:tcMar>
            <w:vAlign w:val="center"/>
          </w:tcPr>
          <w:p>
            <w:r>
              <w:rPr>
                <w:sz w:val="14"/>
              </w:rPr>
              <w:t>450-kg UGG ha⁻¹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tcMar>
              <w:top w:w="25" w:type="dxa"/>
              <w:left w:w="45" w:type="dxa"/>
              <w:bottom w:w="25" w:type="dxa"/>
              <w:right w:w="45" w:type="dxa"/>
              <w:start w:w="35" w:type="dxa"/>
              <w:end w:w="35" w:type="dxa"/>
            </w:tcMar>
            <w:vAlign w:val="center"/>
          </w:tcPr>
          <w:p>
            <w:r>
              <w:rPr>
                <w:sz w:val="14"/>
              </w:rPr>
              <w:t>Colombian extensive-system sources report livestock loading using UGG/large-animal units; modeled UGG = 450 kg live mass. One UGG is represented by one 450-kg reference animal for annual gain and per-head methane EF. This is an explicit representative-herd assumption, not a literal herd head count. The same SR draw determines productivity, enteric CH₄, manure CH₄, and N excretion. Broom et al. (2013); Calle et al. (2013); Rivera-Herrera et al. (2017).</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Stocking rate (SR)</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Tri(1.00, 1.50, 2.34)</w:t>
            </w:r>
          </w:p>
        </w:tc>
        <w:tc>
          <w:tcPr>
            <w:tcW w:w="1699" w:type="dxa"/>
            <w:shd w:val="clear" w:color="auto" w:fill="FAFCFD"/>
            <w:tcMar>
              <w:top w:w="25" w:type="dxa"/>
              <w:left w:w="45" w:type="dxa"/>
              <w:bottom w:w="25" w:type="dxa"/>
              <w:right w:w="45" w:type="dxa"/>
              <w:start w:w="35" w:type="dxa"/>
              <w:end w:w="35" w:type="dxa"/>
            </w:tcMar>
            <w:vAlign w:val="center"/>
          </w:tcPr>
          <w:p>
            <w:r>
              <w:rPr>
                <w:sz w:val="14"/>
              </w:rPr>
              <w:t>450-kg UGG ha⁻¹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shd w:val="clear" w:color="auto" w:fill="FAFCFD"/>
            <w:tcMar>
              <w:top w:w="25" w:type="dxa"/>
              <w:left w:w="45" w:type="dxa"/>
              <w:bottom w:w="25" w:type="dxa"/>
              <w:right w:w="45" w:type="dxa"/>
              <w:start w:w="35" w:type="dxa"/>
              <w:end w:w="35" w:type="dxa"/>
            </w:tcMar>
            <w:vAlign w:val="center"/>
          </w:tcPr>
          <w:p>
            <w:r>
              <w:rPr>
                <w:sz w:val="14"/>
              </w:rPr>
              <w:t>Intermediate UGG-based stocking-rate range; one 450-kg UGG is approximated by one 450-kg reference animal. Sources: Calle et al. (2013); Rivera-Herrera et al. (2017).</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Stocking rate (SR)</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Tri(2.71, 3.00, 4.00)</w:t>
            </w:r>
          </w:p>
        </w:tc>
        <w:tc>
          <w:tcPr>
            <w:tcW w:w="1699" w:type="dxa"/>
            <w:tcMar>
              <w:top w:w="25" w:type="dxa"/>
              <w:left w:w="45" w:type="dxa"/>
              <w:bottom w:w="25" w:type="dxa"/>
              <w:right w:w="45" w:type="dxa"/>
              <w:start w:w="35" w:type="dxa"/>
              <w:end w:w="35" w:type="dxa"/>
            </w:tcMar>
            <w:vAlign w:val="center"/>
          </w:tcPr>
          <w:p>
            <w:r>
              <w:rPr>
                <w:sz w:val="14"/>
              </w:rPr>
              <w:t>450-kg UGG ha⁻¹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tcMar>
              <w:top w:w="25" w:type="dxa"/>
              <w:left w:w="45" w:type="dxa"/>
              <w:bottom w:w="25" w:type="dxa"/>
              <w:right w:w="45" w:type="dxa"/>
              <w:start w:w="35" w:type="dxa"/>
              <w:end w:w="35" w:type="dxa"/>
            </w:tcMar>
            <w:vAlign w:val="center"/>
          </w:tcPr>
          <w:p>
            <w:r>
              <w:rPr>
                <w:sz w:val="14"/>
              </w:rPr>
              <w:t>SSPi-I range 2.71–4.00 UGG/ha is reported by Rivera-Herrera et al. (2017, Table 4), with 1 UGG = 450 kg live mass. The model assumes one corresponding 450-kg reference animal per UGG, not an independent conversion to actual head count.</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Average daily gain (ADG)</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Tri(0.25, 0.37, 0.50)</w:t>
            </w:r>
          </w:p>
        </w:tc>
        <w:tc>
          <w:tcPr>
            <w:tcW w:w="1699" w:type="dxa"/>
            <w:shd w:val="clear" w:color="auto" w:fill="FAFCFD"/>
            <w:tcMar>
              <w:top w:w="25" w:type="dxa"/>
              <w:left w:w="45" w:type="dxa"/>
              <w:bottom w:w="25" w:type="dxa"/>
              <w:right w:w="45" w:type="dxa"/>
              <w:start w:w="35" w:type="dxa"/>
              <w:end w:w="35" w:type="dxa"/>
            </w:tcMar>
            <w:vAlign w:val="center"/>
          </w:tcPr>
          <w:p>
            <w:r>
              <w:rPr>
                <w:sz w:val="14"/>
              </w:rPr>
              <w:t>kg LWG (450-kg reference animal)⁻¹ d⁻¹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Extensive and improved grazing evidence in Colombia: approximately 0.25–0.50 kg animal⁻¹ d⁻¹. Broom et al. (2013); Calle et al. (2013); Rivera-Herrera et al. (2017).</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Average daily gain (ADG)</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Tri(0.40, 0.60, 0.75)</w:t>
            </w:r>
          </w:p>
        </w:tc>
        <w:tc>
          <w:tcPr>
            <w:tcW w:w="1699" w:type="dxa"/>
            <w:tcMar>
              <w:top w:w="25" w:type="dxa"/>
              <w:left w:w="45" w:type="dxa"/>
              <w:bottom w:w="25" w:type="dxa"/>
              <w:right w:w="45" w:type="dxa"/>
              <w:start w:w="35" w:type="dxa"/>
              <w:end w:w="35" w:type="dxa"/>
            </w:tcMar>
            <w:vAlign w:val="center"/>
          </w:tcPr>
          <w:p>
            <w:r>
              <w:rPr>
                <w:sz w:val="14"/>
              </w:rPr>
              <w:t>kg LWG (450-kg reference animal)⁻¹ d⁻¹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Intermediate performance anchored in improved-pasture and SSP evidence. Calle et al. (2013); Broom et al. (2013); Rivera-Herrera et al. (2017).</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Average daily gain (ADG)</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Tri(0.417, 0.80, 0.836)</w:t>
            </w:r>
          </w:p>
        </w:tc>
        <w:tc>
          <w:tcPr>
            <w:tcW w:w="1699" w:type="dxa"/>
            <w:shd w:val="clear" w:color="auto" w:fill="FAFCFD"/>
            <w:tcMar>
              <w:top w:w="25" w:type="dxa"/>
              <w:left w:w="45" w:type="dxa"/>
              <w:bottom w:w="25" w:type="dxa"/>
              <w:right w:w="45" w:type="dxa"/>
              <w:start w:w="35" w:type="dxa"/>
              <w:end w:w="35" w:type="dxa"/>
            </w:tcMar>
            <w:vAlign w:val="center"/>
          </w:tcPr>
          <w:p>
            <w:r>
              <w:rPr>
                <w:sz w:val="14"/>
              </w:rPr>
              <w:t>kg LWG (450-kg reference animal)⁻¹ d⁻¹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Direct Colombian SSPi measurements summarized by Rivera-Herrera et al. (2017), including daily gains around 0.42–0.84 kg animal⁻¹ d⁻¹; mode aligned with high-performing SSPi evidence.</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Accepted productivity envelope (Y)</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Constraint</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67.5–182.5</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LWG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A/B</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Bounds from Colombian conventional/extensive and improved-pasture evidence (Broom et al., 2013; Calle et al., 2013). Draws outside the envelope are rejected and resampled.</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Accepted productivity envelope (Y)</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Constraint</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229.4–657.9</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LWG ha⁻¹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Empirical Colombian fattening-farm productivity cluster range from González-Quintero et al. (2021a). Used as a plausibility envelope, not a calibration target.</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Production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Accepted productivity envelope (Y)</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Constraint</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609–1098</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LWG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w:t>
            </w:r>
          </w:p>
        </w:tc>
        <w:tc>
          <w:tcPr>
            <w:tcW w:w="5342" w:type="dxa"/>
            <w:tcMar>
              <w:top w:w="25" w:type="dxa"/>
              <w:left w:w="45" w:type="dxa"/>
              <w:bottom w:w="25" w:type="dxa"/>
              <w:right w:w="45" w:type="dxa"/>
              <w:start w:w="35" w:type="dxa"/>
              <w:end w:w="35" w:type="dxa"/>
            </w:tcMar>
            <w:vAlign w:val="center"/>
          </w:tcPr>
          <w:p>
            <w:r>
              <w:rPr>
                <w:sz w:val="14"/>
              </w:rPr>
              <w:t>609 kg ha⁻¹ yr⁻¹ is reported with paired stocking rate and ADG in Rivera-Herrera et al. (2017, Table 4). The upper 1,098 kg ha⁻¹ yr⁻¹ derives from Mahecha et al. (2012, Figure 1), on-farm SSPi experiment at Hacienda El Chaco. The source calls the outcome “meat production” but pairs it with individual live-weight gain: 3.5 UGG ha⁻¹ × ~0.856 kg gain reference-animal⁻¹ d⁻¹ × 365 ≈ 1,094 kg LWG ha⁻¹ yr⁻¹, close to the reported 1,098. Therefore the upper bound is treated as approximate live-weight gain rather than carcass meat; no dressing factor is applied. This bound is a plausibility constraint, not direct calibration.</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Methane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Enteric CH₄ EF (EFent)</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Tri(40.6, 58.0, 75.4)</w:t>
            </w:r>
          </w:p>
        </w:tc>
        <w:tc>
          <w:tcPr>
            <w:tcW w:w="1699" w:type="dxa"/>
            <w:shd w:val="clear" w:color="auto" w:fill="FAFCFD"/>
            <w:tcMar>
              <w:top w:w="25" w:type="dxa"/>
              <w:left w:w="45" w:type="dxa"/>
              <w:bottom w:w="25" w:type="dxa"/>
              <w:right w:w="45" w:type="dxa"/>
              <w:start w:w="35" w:type="dxa"/>
              <w:end w:w="35" w:type="dxa"/>
            </w:tcMar>
            <w:vAlign w:val="center"/>
          </w:tcPr>
          <w:p>
            <w:r>
              <w:rPr>
                <w:sz w:val="14"/>
              </w:rPr>
              <w:t>kg CH₄ (450-kg reference animal)⁻¹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
              <w:rPr>
                <w:sz w:val="14"/>
              </w:rPr>
              <w:t>Effective category-specific per-head EF on the modeled 450-kg reference-animal proxy. The IPCC (2019, Table 10.11) Latin America “other cattle” values are 58 kg CH₄ head⁻¹ yr⁻¹ (low productivity), 56 (all other cattle), and 55 (high productivity). The values are per head/category defaults, not proportional to body mass; ±30% triangular uncertainty applied. Model assumes one reference head per 450-kg UGG and does not resolve heterogeneous actual herd weights.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Methane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Enteric CH₄ EF (EFent)</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Tri(39.2, 56.0, 72.8)</w:t>
            </w:r>
          </w:p>
        </w:tc>
        <w:tc>
          <w:tcPr>
            <w:tcW w:w="1699" w:type="dxa"/>
            <w:tcMar>
              <w:top w:w="25" w:type="dxa"/>
              <w:left w:w="45" w:type="dxa"/>
              <w:bottom w:w="25" w:type="dxa"/>
              <w:right w:w="45" w:type="dxa"/>
              <w:start w:w="35" w:type="dxa"/>
              <w:end w:w="35" w:type="dxa"/>
            </w:tcMar>
            <w:vAlign w:val="center"/>
          </w:tcPr>
          <w:p>
            <w:r>
              <w:rPr>
                <w:sz w:val="14"/>
              </w:rPr>
              <w:t>kg CH₄ (450-kg reference animal)⁻¹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
              <w:rPr>
                <w:sz w:val="14"/>
              </w:rPr>
              <w:t>Effective category-specific per-head EF on the modeled 450-kg reference-animal proxy. The IPCC (2019, Table 10.11) Latin America “other cattle” values are 58 kg CH₄ head⁻¹ yr⁻¹ (low productivity), 56 (all other cattle), and 55 (high productivity). The values are per head/category defaults, not proportional to body mass; ±30% triangular uncertainty applied. Model assumes one reference head per 450-kg UGG and does not resolve heterogeneous actual herd weights.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Methane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Enteric CH₄ EF (EFent)</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Tri(38.5, 55.0, 71.5)</w:t>
            </w:r>
          </w:p>
        </w:tc>
        <w:tc>
          <w:tcPr>
            <w:tcW w:w="1699" w:type="dxa"/>
            <w:shd w:val="clear" w:color="auto" w:fill="FAFCFD"/>
            <w:tcMar>
              <w:top w:w="25" w:type="dxa"/>
              <w:left w:w="45" w:type="dxa"/>
              <w:bottom w:w="25" w:type="dxa"/>
              <w:right w:w="45" w:type="dxa"/>
              <w:start w:w="35" w:type="dxa"/>
              <w:end w:w="35" w:type="dxa"/>
            </w:tcMar>
            <w:vAlign w:val="center"/>
          </w:tcPr>
          <w:p>
            <w:r>
              <w:rPr>
                <w:sz w:val="14"/>
              </w:rPr>
              <w:t>kg CH₄ (450-kg reference animal)⁻¹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
              <w:rPr>
                <w:sz w:val="14"/>
              </w:rPr>
              <w:t>Effective category-specific per-head EF on the modeled 450-kg reference-animal proxy. The IPCC (2019, Table 10.11) Latin America “other cattle” values are 58 kg CH₄ head⁻¹ yr⁻¹ (low productivity), 56 (all other cattle), and 55 (high productivity). The values are per head/category defaults, not proportional to body mass; ±30% triangular uncertainty applied. Model assumes one reference head per 450-kg UGG and does not resolve heterogeneous actual herd weights.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Manure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VS excretion rate</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Tri(6.88, 8.60, 10.32)</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VS (1000 kg LW)⁻¹ d⁻¹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
              <w:rPr>
                <w:sz w:val="14"/>
              </w:rPr>
              <w:t>IPCC (2019) VS rates are per 1,000 kg live animal mass per day; converted per modeled 450-kg UGG reference animal as rate × (450/1000) × 365. A ±20% triangular range is sampled.</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Manure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VS excretion rate</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Tri(6.80, 8.50, 10.20)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VS (1000 kg LW)⁻¹ d⁻¹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Central model rate with ±20% uncertainty; same conversion as BAU-F.</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Manure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VS excretion rate</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Tri(6.48, 8.10, 9.72)</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VS (1000 kg LW)⁻¹ d⁻¹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Central model rate with ±20% uncertainty; same conversion as BAU-F.</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Nitrogen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N excretion rate</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Tri(0.232, 0.290, 0.348)</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N (1000 kg LW)⁻¹ d⁻¹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
              <w:rPr>
                <w:sz w:val="14"/>
              </w:rPr>
              <w:t>IPCC (2019) N-excretion rates are per 1,000 kg live mass per day; converted per modeled 450-kg UGG reference animal as rate × (450/1000) × 365. A ±20% triangular range is sampled.</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Nitrogen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N excretion rate</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Tri(0.248, 0.310, 0.372)</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N (1000 kg LW)⁻¹ d⁻¹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Central model rate with ±20% uncertainty; same conversion as BAU-F.</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Nitrogen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N excretion rate</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Tri(0.288, 0.360, 0.432)</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N (1000 kg LW)⁻¹ d⁻¹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Central model rate with ±20% uncertainty; same conversion as BAU-F.</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Inputs</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Aggregated input emissions (Einp)</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Tri(50, 100, 200)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CO₂eq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Explicit aggregated scenario assumption because harmonized activity data for fuel, electricity, fertilizer manufacture, mineral supplements, purchased feed, and transport were unavailable across all source studies.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Inputs</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Aggregated input emissions (Einp)</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Tri(80, 180, 350)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CO₂eq ha⁻¹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Explicit aggregated scenario assumption; allows higher per-hectare input burden under moderate intensification.</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Inputs</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Aggregated input emissions (Einp)</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Tri(150, 350, 700)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CO₂eq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Explicit aggregated scenario assumption; allows substantially higher per-hectare input burden under intensive management.</w:t>
            </w:r>
          </w:p>
        </w:tc>
      </w:tr>
    </w:tbl>
    <w:p w:rsidR="00F940F2" w:rsidRDefault="00000000">
      <w:pPr>
        <w:spacing w:before="60" w:after="40"/>
      </w:pPr>
      <w:r>
        <w:rPr>
          <w:b/>
          <w:sz w:val="17"/>
        </w:rPr>
        <w:t>Panel B. Common methodological constants and derived relationships</w:t>
      </w:r>
    </w:p>
    <w:tbl>
      <w:tblPr>
        <w:tblStyle w:val="Tablaconcuadrcula"/>
        <w:tblW w:w="0" w:type="auto"/>
        <w:jc w:val="center"/>
        <w:tblLayout w:type="fixed"/>
        <w:tblLook w:val="04A0" w:firstRow="1" w:lastRow="0" w:firstColumn="1" w:lastColumn="0" w:noHBand="0" w:noVBand="1"/>
      </w:tblPr>
      <w:tblGrid>
        <w:gridCol w:w="1152"/>
        <w:gridCol w:w="1800"/>
        <w:gridCol w:w="1325"/>
        <w:gridCol w:w="1037"/>
        <w:gridCol w:w="1872"/>
        <w:gridCol w:w="1699"/>
        <w:gridCol w:w="749"/>
        <w:gridCol w:w="5342"/>
      </w:tblGrid>
      <w:tr w:rsidR="00F940F2">
        <w:trPr>
          <w:cantSplit/>
          <w:tblHeader/>
          <w:jc w:val="center"/>
        </w:trPr>
        <w:tc>
          <w:tcPr>
            <w:tcW w:w="115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Block</w:t>
            </w:r>
          </w:p>
        </w:tc>
        <w:tc>
          <w:tcPr>
            <w:tcW w:w="1800"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Parameter (symbol)</w:t>
            </w:r>
          </w:p>
        </w:tc>
        <w:tc>
          <w:tcPr>
            <w:tcW w:w="1325"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Scenario / setting</w:t>
            </w:r>
          </w:p>
        </w:tc>
        <w:tc>
          <w:tcPr>
            <w:tcW w:w="1037"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Status</w:t>
            </w:r>
          </w:p>
        </w:tc>
        <w:tc>
          <w:tcPr>
            <w:tcW w:w="187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Distribution / value</w:t>
            </w:r>
          </w:p>
        </w:tc>
        <w:tc>
          <w:tcPr>
            <w:tcW w:w="169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Model unit</w:t>
            </w:r>
          </w:p>
        </w:tc>
        <w:tc>
          <w:tcPr>
            <w:tcW w:w="74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Evidence</w:t>
            </w:r>
          </w:p>
        </w:tc>
        <w:tc>
          <w:tcPr>
            <w:tcW w:w="534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left"/>
            </w:pPr>
            <w:r>
              <w:rPr>
                <w:b/>
                <w:sz w:val="14"/>
              </w:rPr>
              <w:t>Source, original unit, harmonization, and dependency</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Derived</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Annual productivity (YLWG)</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Derived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SR × ADG × 365</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LWG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w:t>
            </w:r>
          </w:p>
        </w:tc>
        <w:tc>
          <w:tcPr>
            <w:tcW w:w="5342" w:type="dxa"/>
            <w:tcMar>
              <w:top w:w="25" w:type="dxa"/>
              <w:left w:w="45" w:type="dxa"/>
              <w:bottom w:w="25" w:type="dxa"/>
              <w:right w:w="45" w:type="dxa"/>
              <w:start w:w="35" w:type="dxa"/>
              <w:end w:w="35" w:type="dxa"/>
            </w:tcMar>
            <w:vAlign w:val="center"/>
          </w:tcPr>
          <w:p>
            <w:r>
              <w:rPr>
                <w:sz w:val="14"/>
              </w:rPr>
              <w:t>Derived as SR_UGG × ADG_reference-head × 365 under the 450-kg UGG ≈ 450-kg reference-head simplifying assumption. Stocking rate is shared with methane/VS/N. Out-of-envelope draws are rejected. Rivera-Herrera et al. (2017, Table 4) and Mahecha et al. (2012, Figure 1) provide joint SR/ADG/area-yield plausibility checks.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Conversion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Representative live mass (M_EQ)</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
              <w:rPr>
                <w:sz w:val="14"/>
              </w:rPr>
              <w:t>450</w:t>
            </w:r>
          </w:p>
        </w:tc>
        <w:tc>
          <w:tcPr>
            <w:tcW w:w="1699" w:type="dxa"/>
            <w:shd w:val="clear" w:color="auto" w:fill="FAFCFD"/>
            <w:tcMar>
              <w:top w:w="25" w:type="dxa"/>
              <w:left w:w="45" w:type="dxa"/>
              <w:bottom w:w="25" w:type="dxa"/>
              <w:right w:w="45" w:type="dxa"/>
              <w:start w:w="35" w:type="dxa"/>
              <w:end w:w="35" w:type="dxa"/>
            </w:tcMar>
            <w:vAlign w:val="center"/>
          </w:tcPr>
          <w:p>
            <w:r>
              <w:rPr>
                <w:sz w:val="14"/>
              </w:rPr>
              <w:t>kg live mass (reference animal)⁻¹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
              <w:rPr>
                <w:sz w:val="14"/>
              </w:rPr>
              <w:t>Defines 1 UGG = 450 kg live mass (Rivera-Herrera et al., 2017). Model assumes one 450-kg reference head per UGG: per-head IPCC enteric EF/ADG are applied to this proxy. VS and N rates per 1000 kg LW are converted as rate × (450/1000) × 365. To model real herds of mean body weight W ≠ 450 kg, convert UGG to actual head counts as heads/ha = SR_UGG × 450/W and use matching class-specific EFs and ADG.</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lastRenderedPageBreak/>
              <w:t>Manure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Pasture/range/paddock CH₄ EF (EFCH4,PRP)</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0.0006</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CH₄ kg⁻¹ VS</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(2019) default = 0.6 g CH₄ kg⁻¹ VS for pasture/range/paddock manure.</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Climate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GWP100 CH₄</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27.0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CO₂eq kg⁻¹ CH₄</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AR6 value for biogenic CH₄ used in the model (IPCC, 2021).</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Direct EF3, PRP – aggregated</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Base</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0.004</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N₂O-N kg⁻¹ 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(2019) aggregated factor for N deposited during grazing.</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Direct EF3, PRP – dry</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0.002</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N₂O-N kg⁻¹ 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(2019) dry-climate alternative.</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Direct EF3, PRP – wet</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0.006</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N₂O-N kg⁻¹ 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(2019) wet-climate alternative.</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FracGASM</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0.21</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Fraction of manure N volatilized as NH₃ and NOx; IPCC (2019).</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EF4</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0.010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kg N₂O-N kg⁻¹ volatilized 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Indirect N₂O EF for atmospheric deposition; IPCC (2019).</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FracLEACH</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Base / dry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No leaching/runoff term in base and dry configurations.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FracLEACH</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Wet</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0.24</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Wet-climate leaching/runoff fraction; IPCC (2019).</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N₂O</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EF5</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0.011</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N₂O-N kg⁻¹ leached 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Indirect N₂O EF for leaching/runoff; IPCC (2019).</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Conversion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N₂O-N → N₂O</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44/28</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mass ratio</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Molecular-mass conversion applied before GWP.</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Climate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GWP100 N₂O</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273</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CO₂eq kg⁻¹ N₂O</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IPCC AR6 GWP100 (IPCC, 2021).</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Conversion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C → CO₂</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Land carbon</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44/12</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mass ratio</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Stoichiometric conversion from elemental carbon to CO₂.</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Conversion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Mg → kg</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Land carbon</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1000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kg Mg⁻¹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C</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Unit conversion.</w:t>
            </w:r>
          </w:p>
        </w:tc>
      </w:tr>
    </w:tbl>
    <w:p w:rsidR="00F940F2" w:rsidRDefault="00000000">
      <w:pPr>
        <w:spacing w:before="60" w:after="40"/>
      </w:pPr>
      <w:r>
        <w:rPr>
          <w:b/>
          <w:sz w:val="17"/>
        </w:rPr>
        <w:t>Panel C. Land-use, carbon-accounting, and robustness parameters</w:t>
      </w:r>
    </w:p>
    <w:tbl>
      <w:tblPr>
        <w:tblStyle w:val="Tablaconcuadrcula"/>
        <w:tblW w:w="0" w:type="auto"/>
        <w:jc w:val="center"/>
        <w:tblLayout w:type="fixed"/>
        <w:tblLook w:val="04A0" w:firstRow="1" w:lastRow="0" w:firstColumn="1" w:lastColumn="0" w:noHBand="0" w:noVBand="1"/>
      </w:tblPr>
      <w:tblGrid>
        <w:gridCol w:w="1152"/>
        <w:gridCol w:w="1800"/>
        <w:gridCol w:w="1325"/>
        <w:gridCol w:w="1037"/>
        <w:gridCol w:w="1872"/>
        <w:gridCol w:w="1699"/>
        <w:gridCol w:w="749"/>
        <w:gridCol w:w="5342"/>
      </w:tblGrid>
      <w:tr w:rsidR="00F940F2">
        <w:trPr>
          <w:cantSplit/>
          <w:tblHeader/>
          <w:jc w:val="center"/>
        </w:trPr>
        <w:tc>
          <w:tcPr>
            <w:tcW w:w="115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Block</w:t>
            </w:r>
          </w:p>
        </w:tc>
        <w:tc>
          <w:tcPr>
            <w:tcW w:w="1800"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Parameter (symbol)</w:t>
            </w:r>
          </w:p>
        </w:tc>
        <w:tc>
          <w:tcPr>
            <w:tcW w:w="1325"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Scenario / setting</w:t>
            </w:r>
          </w:p>
        </w:tc>
        <w:tc>
          <w:tcPr>
            <w:tcW w:w="1037"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Status</w:t>
            </w:r>
          </w:p>
        </w:tc>
        <w:tc>
          <w:tcPr>
            <w:tcW w:w="187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Distribution / value</w:t>
            </w:r>
          </w:p>
        </w:tc>
        <w:tc>
          <w:tcPr>
            <w:tcW w:w="169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Model unit</w:t>
            </w:r>
          </w:p>
        </w:tc>
        <w:tc>
          <w:tcPr>
            <w:tcW w:w="74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Evidence</w:t>
            </w:r>
          </w:p>
        </w:tc>
        <w:tc>
          <w:tcPr>
            <w:tcW w:w="534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left"/>
            </w:pPr>
            <w:r>
              <w:rPr>
                <w:b/>
                <w:sz w:val="14"/>
              </w:rPr>
              <w:t>Source, original unit, harmonization, and dependency</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LUC</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Forest-to-pasture carbon EF (CEFpasture)</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73.79</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converted</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Colombia-specific national weighted aboveground-biomass carbon emission factor for forest conversion to pasture (Zamora et al., 2026). Not interpreted as full ecosystem carbon loss.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LUC</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LUC amortization period (TLUC)</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20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yr</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Central accounting convention. Annualized LUC burden = fLUC × CEF × 44/12 × 1000 / TLUC.</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LUC</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LUC exposure fraction (fLUC)</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No LUC burden in primary production-only comparison.</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LUC</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LUC exposure fraction (fLUC)</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0.05; 0.10; 0.30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Common exposure applied identically to BAU-F, SSPi-M, and SSPi-I. These are structural tests, not empirical probabilities of deforestation.</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Biomass C accumulation (Rbio)</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 0.02, 0.08)</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Conservative near-zero background woody-biomass accumulation. Scenario distribution used only when carbon crediting is activated.</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Biomass C accumulation (Rbio)</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Tri(0.20, 0.60, 1.30)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Conservative distribution informed by Colombian silvopastoral biomass accumulation evidence; Mavisoy et al. (2025) documents strong heterogeneity across SPS coverage and woody components.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Biomass C accumulation (Rbio)</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Tri(0.80, 1.50, 2.50)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High-coverage SSPi structural distribution; intentionally below some reported Colombian woody-biomass increments to limit over-crediting (Mavisoy et al., 2025).</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SOC accumulation (RSOC)</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No SOC credit assigned to BAU-F in structural carbon-removal scenarios.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SOC accumulation (RSOC)</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Tri(0, 0.50, 0.80)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Scenario range informed by Colombian topsoil accumulation evidence and uncertainty in persistence (Mavisoy et al., 2025); soil stocks are highly variable among systems (Trujillo-González et al., 2026).</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SOC accumulation (RSOC)</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Stochastic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Tri(0, 0.50, 0.80)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Mg C ha⁻¹ yr⁻¹</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Same distribution as SSPi-M; intensity alone is not assumed to imply higher SOC accumulation.</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Biomass credit fraction (λbio)</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Carbon removals excluded from primary comparison.</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Soil credit fraction (λsoil)</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Carbon removals excluded from primary comparison.</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Carbon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Crediting fractions (λbio, λsoil)</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0.25; 0.50; 1.00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fraction</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Applied jointly for reduced/full-credit tests; also activated separately for biomass-only and soil-only tests.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Time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Analysis horizon (h)</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10; 20; 30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yr</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Used to test temporal dependence of sequestration credit.</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Time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Maximum carbon-crediting period (TC)</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20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yr</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Annual accumulation rate is not extrapolated beyond 20 yr at full rate.</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Time</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Temporal adjustment (ω)</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Derived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min(h, TC) / h</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dimensionless</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ω = 1 for 10- and 20-yr horizons; ω = 0.667 for 30 yr when TC = 20 yr.</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Robustness</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Conservative productivity – SR/ADG</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BAU-F</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SR Tri(0.50,0.85,1.00); ADG Tri(0.25,0.37,0.50)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same as base</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Same as primary BAU-F; included for symmetry in the conservative-productivity sensitivity.</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Robustness</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Conservative productivity – SR/ADG</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SSPi-M</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SR Tri(1.00,1.25,1.50); ADG Tri(0.40,0.50,0.60)</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same as base</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Narrower/lower-performance alternative used to test whether the SSPi-M contrast persists under less favorable productivity.</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Robustness</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Conservative productivity – SR/ADG</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SSPi-I</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Sensitivity</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SR Tri(2.71,2.85,3.00); ADG Tri(0.417,0.60,0.75)</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same as base</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Narrower/lower-performance alternative used to test whether the SSPi-I contrast persists under less favorable productivity.</w:t>
            </w:r>
          </w:p>
        </w:tc>
      </w:tr>
    </w:tbl>
    <w:p w:rsidR="00F940F2" w:rsidRDefault="00000000">
      <w:pPr>
        <w:spacing w:before="60" w:after="40"/>
      </w:pPr>
      <w:r>
        <w:rPr>
          <w:b/>
          <w:sz w:val="17"/>
        </w:rPr>
        <w:t>Panel D. Computational and diagnostic settings</w:t>
      </w:r>
    </w:p>
    <w:tbl>
      <w:tblPr>
        <w:tblStyle w:val="Tablaconcuadrcula"/>
        <w:tblW w:w="0" w:type="auto"/>
        <w:jc w:val="center"/>
        <w:tblLayout w:type="fixed"/>
        <w:tblLook w:val="04A0" w:firstRow="1" w:lastRow="0" w:firstColumn="1" w:lastColumn="0" w:noHBand="0" w:noVBand="1"/>
      </w:tblPr>
      <w:tblGrid>
        <w:gridCol w:w="1152"/>
        <w:gridCol w:w="1800"/>
        <w:gridCol w:w="1325"/>
        <w:gridCol w:w="1037"/>
        <w:gridCol w:w="1872"/>
        <w:gridCol w:w="1699"/>
        <w:gridCol w:w="749"/>
        <w:gridCol w:w="5342"/>
      </w:tblGrid>
      <w:tr w:rsidR="00F940F2">
        <w:trPr>
          <w:cantSplit/>
          <w:tblHeader/>
          <w:jc w:val="center"/>
        </w:trPr>
        <w:tc>
          <w:tcPr>
            <w:tcW w:w="115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lastRenderedPageBreak/>
              <w:t>Block</w:t>
            </w:r>
          </w:p>
        </w:tc>
        <w:tc>
          <w:tcPr>
            <w:tcW w:w="1800"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Parameter (symbol)</w:t>
            </w:r>
          </w:p>
        </w:tc>
        <w:tc>
          <w:tcPr>
            <w:tcW w:w="1325"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Scenario / setting</w:t>
            </w:r>
          </w:p>
        </w:tc>
        <w:tc>
          <w:tcPr>
            <w:tcW w:w="1037"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Status</w:t>
            </w:r>
          </w:p>
        </w:tc>
        <w:tc>
          <w:tcPr>
            <w:tcW w:w="187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Distribution / value</w:t>
            </w:r>
          </w:p>
        </w:tc>
        <w:tc>
          <w:tcPr>
            <w:tcW w:w="169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Model unit</w:t>
            </w:r>
          </w:p>
        </w:tc>
        <w:tc>
          <w:tcPr>
            <w:tcW w:w="749"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center"/>
            </w:pPr>
            <w:r>
              <w:rPr>
                <w:b/>
                <w:sz w:val="14"/>
              </w:rPr>
              <w:t>Evidence</w:t>
            </w:r>
          </w:p>
        </w:tc>
        <w:tc>
          <w:tcPr>
            <w:tcW w:w="5342" w:type="dxa"/>
            <w:shd w:val="clear" w:color="auto" w:fill="D9EAF7"/>
            <w:tcMar>
              <w:top w:w="25" w:type="dxa"/>
              <w:left w:w="45" w:type="dxa"/>
              <w:bottom w:w="25" w:type="dxa"/>
              <w:right w:w="45" w:type="dxa"/>
              <w:start w:w="35" w:type="dxa"/>
              <w:end w:w="35" w:type="dxa"/>
            </w:tcMar>
            <w:vAlign w:val="center"/>
          </w:tcPr>
          <w:p w:rsidR="00F940F2" w:rsidRDefault="00000000">
            <w:pPr>
              <w:spacing w:line="211" w:lineRule="auto"/>
              <w:jc w:val="left"/>
            </w:pPr>
            <w:r>
              <w:rPr>
                <w:b/>
                <w:sz w:val="14"/>
              </w:rPr>
              <w:t>Source, original unit, harmonization, and dependency</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Simulation</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Accepted Monte Carlo draws</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10,000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iterations scenario⁻¹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Main simulation size. Draws violating the productivity envelope are rejected and resampled until N accepted draws are obtained.</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Simulation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Random seed</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All</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42</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Ensures reproducibility of the reported Monte Carlo draws.</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Convergence</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Nested sample sizes</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Diagnostic</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Fixed</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1,000; 5,000; 10,000; 20,000</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iterations scenario⁻¹</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Used to evaluate numerical convergence of means and percentile estimates and to report Monte Carlo standard errors.</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Simulation</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Common random numbers</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Structural tests</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Design</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Same accepted primitive draws</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Structural configurations reuse the same underlying production draws; only LUC/carbon-accounting settings are changed, reducing comparison noise.</w:t>
            </w:r>
          </w:p>
        </w:tc>
      </w:tr>
      <w:tr w:rsidR="00F940F2">
        <w:trPr>
          <w:cantSplit/>
          <w:jc w:val="center"/>
        </w:trPr>
        <w:tc>
          <w:tcPr>
            <w:tcW w:w="1152" w:type="dxa"/>
            <w:tcMar>
              <w:top w:w="25" w:type="dxa"/>
              <w:left w:w="45" w:type="dxa"/>
              <w:bottom w:w="25" w:type="dxa"/>
              <w:right w:w="45" w:type="dxa"/>
              <w:start w:w="35" w:type="dxa"/>
              <w:end w:w="35" w:type="dxa"/>
            </w:tcMar>
            <w:vAlign w:val="center"/>
          </w:tcPr>
          <w:p w:rsidR="00F940F2" w:rsidRDefault="00000000">
            <w:pPr>
              <w:spacing w:line="206" w:lineRule="auto"/>
              <w:jc w:val="center"/>
            </w:pPr>
            <w:r>
              <w:rPr>
                <w:b/>
                <w:sz w:val="14"/>
              </w:rPr>
              <w:t>Sensitivity</w:t>
            </w:r>
          </w:p>
        </w:tc>
        <w:tc>
          <w:tcPr>
            <w:tcW w:w="1800" w:type="dxa"/>
            <w:tcMar>
              <w:top w:w="25" w:type="dxa"/>
              <w:left w:w="45" w:type="dxa"/>
              <w:bottom w:w="25" w:type="dxa"/>
              <w:right w:w="45" w:type="dxa"/>
              <w:start w:w="35" w:type="dxa"/>
              <w:end w:w="35" w:type="dxa"/>
            </w:tcMar>
            <w:vAlign w:val="center"/>
          </w:tcPr>
          <w:p w:rsidR="00F940F2" w:rsidRDefault="00000000">
            <w:pPr>
              <w:spacing w:line="206" w:lineRule="auto"/>
            </w:pPr>
            <w:r>
              <w:rPr>
                <w:sz w:val="14"/>
              </w:rPr>
              <w:t>Spearman screening</w:t>
            </w:r>
          </w:p>
        </w:tc>
        <w:tc>
          <w:tcPr>
            <w:tcW w:w="1325"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Diagnostic</w:t>
            </w:r>
          </w:p>
        </w:tc>
        <w:tc>
          <w:tcPr>
            <w:tcW w:w="1872" w:type="dxa"/>
            <w:tcMar>
              <w:top w:w="25" w:type="dxa"/>
              <w:left w:w="45" w:type="dxa"/>
              <w:bottom w:w="25" w:type="dxa"/>
              <w:right w:w="45" w:type="dxa"/>
              <w:start w:w="35" w:type="dxa"/>
              <w:end w:w="35" w:type="dxa"/>
            </w:tcMar>
            <w:vAlign w:val="center"/>
          </w:tcPr>
          <w:p w:rsidR="00F940F2" w:rsidRDefault="00000000">
            <w:pPr>
              <w:spacing w:line="206" w:lineRule="auto"/>
            </w:pPr>
            <w:r>
              <w:rPr>
                <w:sz w:val="14"/>
              </w:rPr>
              <w:t>ρS(Xj, CFprod)</w:t>
            </w:r>
          </w:p>
        </w:tc>
        <w:tc>
          <w:tcPr>
            <w:tcW w:w="1699" w:type="dxa"/>
            <w:tcMar>
              <w:top w:w="25" w:type="dxa"/>
              <w:left w:w="45" w:type="dxa"/>
              <w:bottom w:w="25" w:type="dxa"/>
              <w:right w:w="45" w:type="dxa"/>
              <w:start w:w="35" w:type="dxa"/>
              <w:end w:w="35" w:type="dxa"/>
            </w:tcMar>
            <w:vAlign w:val="center"/>
          </w:tcPr>
          <w:p w:rsidR="00F940F2" w:rsidRDefault="00000000">
            <w:pPr>
              <w:spacing w:line="206" w:lineRule="auto"/>
            </w:pPr>
            <w:r>
              <w:rPr>
                <w:sz w:val="14"/>
              </w:rPr>
              <w:t>—</w:t>
            </w:r>
          </w:p>
        </w:tc>
        <w:tc>
          <w:tcPr>
            <w:tcW w:w="749" w:type="dxa"/>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Rank-based screening only; not interpreted as variance decomposition or causality.</w:t>
            </w:r>
          </w:p>
        </w:tc>
      </w:tr>
      <w:tr w:rsidR="00F940F2">
        <w:trPr>
          <w:cantSplit/>
          <w:jc w:val="center"/>
        </w:trPr>
        <w:tc>
          <w:tcPr>
            <w:tcW w:w="1152" w:type="dxa"/>
            <w:shd w:val="clear" w:color="auto" w:fill="FAFCFD"/>
            <w:tcMar>
              <w:top w:w="25" w:type="dxa"/>
              <w:left w:w="45" w:type="dxa"/>
              <w:bottom w:w="25" w:type="dxa"/>
              <w:right w:w="45" w:type="dxa"/>
              <w:start w:w="35" w:type="dxa"/>
              <w:end w:w="35" w:type="dxa"/>
            </w:tcMar>
            <w:vAlign w:val="center"/>
          </w:tcPr>
          <w:p w:rsidR="00F940F2" w:rsidRDefault="00000000">
            <w:pPr>
              <w:jc w:val="center"/>
            </w:pPr>
            <w:r>
              <w:rPr>
                <w:b/>
                <w:sz w:val="14"/>
              </w:rPr>
              <w:t>Shapley</w:t>
            </w:r>
          </w:p>
        </w:tc>
        <w:tc>
          <w:tcPr>
            <w:tcW w:w="1800"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Shapley mechanism blocks</w:t>
            </w:r>
          </w:p>
        </w:tc>
        <w:tc>
          <w:tcPr>
            <w:tcW w:w="1325"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Primary</w:t>
            </w:r>
          </w:p>
        </w:tc>
        <w:tc>
          <w:tcPr>
            <w:tcW w:w="1037"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Diagnostic</w:t>
            </w:r>
          </w:p>
        </w:tc>
        <w:tc>
          <w:tcPr>
            <w:tcW w:w="187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Productivity; methane; N₂O; inputs</w:t>
            </w:r>
          </w:p>
        </w:tc>
        <w:tc>
          <w:tcPr>
            <w:tcW w:w="169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pPr>
            <w:r>
              <w:rPr>
                <w:sz w:val="14"/>
              </w:rPr>
              <w:t>—</w:t>
            </w:r>
          </w:p>
        </w:tc>
        <w:tc>
          <w:tcPr>
            <w:tcW w:w="749"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center"/>
            </w:pPr>
            <w:r>
              <w:rPr>
                <w:sz w:val="14"/>
              </w:rPr>
              <w:t>D</w:t>
            </w:r>
          </w:p>
        </w:tc>
        <w:tc>
          <w:tcPr>
            <w:tcW w:w="5342" w:type="dxa"/>
            <w:shd w:val="clear" w:color="auto" w:fill="FAFCFD"/>
            <w:tcMar>
              <w:top w:w="25" w:type="dxa"/>
              <w:left w:w="45" w:type="dxa"/>
              <w:bottom w:w="25" w:type="dxa"/>
              <w:right w:w="45" w:type="dxa"/>
              <w:start w:w="35" w:type="dxa"/>
              <w:end w:w="35" w:type="dxa"/>
            </w:tcMar>
            <w:vAlign w:val="center"/>
          </w:tcPr>
          <w:p w:rsidR="00F940F2" w:rsidRDefault="00000000">
            <w:pPr>
              <w:spacing w:line="206" w:lineRule="auto"/>
              <w:jc w:val="left"/>
            </w:pPr>
            <w:r>
              <w:rPr>
                <w:sz w:val="14"/>
              </w:rPr>
              <w:t>Order-invariant attribution of BAU-F → SSPi scenario differences. LUC, biomass, and soil blocks can be added for structural configurations in which they are active.</w:t>
            </w:r>
          </w:p>
        </w:tc>
      </w:tr>
    </w:tbl>
    <w:p w:rsidR="00F940F2" w:rsidRDefault="00000000">
      <w:pPr>
        <w:spacing w:before="80" w:after="40"/>
      </w:pPr>
      <w:r>
        <w:rPr>
          <w:b/>
        </w:rPr>
        <w:t>Notes.</w:t>
      </w:r>
      <w:r>
        <w:rPr>
          <w:sz w:val="15"/>
        </w:rPr>
        <w:t xml:space="preserve"> LWG = live-weight gain; UGG/LAU = large-animal unit; VS = volatile solids; SOC = soil organic carbon; PRP = pasture/range/paddock; GWP = global warming potential. Source values are retained in their original conceptual basis, while the model uses the harmonizations stated above. The final code and any submitted supplementary CSV should use these exact values; changing any value requires rerunning Section 3 results.</w:t>
      </w:r>
      <w:r>
        <w:t xml:space="preserve"> Livestock mass basis: 1 modeled UGG = 450 kg live mass, represented by one reference head. The 300-kg conversion of the earlier draft was corrected to 450 kg. All emitted CO₂eq outputs and sensitivity results in the manuscript and revised code reflect this change.</w:t>
      </w:r>
    </w:p>
    <w:p w:rsidR="00F940F2" w:rsidRDefault="00000000">
      <w:pPr>
        <w:spacing w:before="80" w:after="40"/>
      </w:pPr>
      <w:r>
        <w:rPr>
          <w:b/>
          <w:sz w:val="17"/>
        </w:rPr>
        <w:t>Key references for Supplementary Table S1</w:t>
      </w:r>
    </w:p>
    <w:p w:rsidR="00F940F2" w:rsidRDefault="00000000">
      <w:pPr>
        <w:spacing w:after="20" w:line="216" w:lineRule="auto"/>
        <w:ind w:left="216" w:hanging="216"/>
      </w:pPr>
      <w:r>
        <w:rPr>
          <w:sz w:val="14"/>
        </w:rPr>
        <w:t>Broom, D. M., Galindo, F. A., &amp; Murgueitio, E. (2013). Sustainable, efficient livestock production with high biodiversity and good welfare for animals. Proceedings of the Royal Society B: Biological Sciences, 280(1771), 20132025. https://doi.org/10.1098/rspb.2013.2025</w:t>
      </w:r>
    </w:p>
    <w:p w:rsidR="00F940F2" w:rsidRDefault="00000000">
      <w:pPr>
        <w:spacing w:after="20" w:line="216" w:lineRule="auto"/>
        <w:ind w:left="216" w:hanging="216"/>
      </w:pPr>
      <w:r>
        <w:rPr>
          <w:sz w:val="14"/>
        </w:rPr>
        <w:t>Calle, Z., Murgueitio, E., Chará, J., Molina, C. H., Zuluaga, A. F., &amp; Calle, A. (2013). A strategy for scaling-up intensive silvopastoral systems in Colombia. Journal of Sustainable Forestry, 32(7), 677–693. https://doi.org/10.1080/10549811.2013.817338</w:t>
      </w:r>
    </w:p>
    <w:p w:rsidR="00F940F2" w:rsidRDefault="00000000">
      <w:pPr>
        <w:spacing w:after="20" w:line="216" w:lineRule="auto"/>
        <w:ind w:left="216" w:hanging="216"/>
      </w:pPr>
      <w:r>
        <w:rPr>
          <w:sz w:val="14"/>
        </w:rPr>
        <w:t>Rivera-Herrera, J. E., Molina-Botero, I., Chará-Orozco, J., Murgueitio-Restrepo, E., &amp; Barahona-Rosales, R. (2017). Sistemas silvopastoriles intensivos con Leucaena leucocephala (Lam.) de Wit: alternativa productiva en el trópico ante el cambio climático. Pastos y Forrajes, 40(3), 171–183.</w:t>
      </w:r>
    </w:p>
    <w:p w:rsidR="00F940F2" w:rsidRDefault="00000000">
      <w:pPr>
        <w:spacing w:after="20" w:line="216" w:lineRule="auto"/>
        <w:ind w:left="216" w:hanging="216"/>
      </w:pPr>
      <w:r>
        <w:rPr>
          <w:sz w:val="14"/>
        </w:rPr>
        <w:t>González-Quintero, R., Bolívar-Vergara, D. M., Chirinda, N., Arango, J., Pantevez, H., Barahona-Rosales, R., &amp; Sánchez-Pinzón, M. S. (2021a). Environmental impact of primary beef production chain in Colombia: Carbon footprint, non-renewable energy and land use using life cycle assessment. Science of the Total Environment, 773, 145573. https://doi.org/10.1016/j.scitotenv.2021.145573</w:t>
      </w:r>
    </w:p>
    <w:p w:rsidR="00F940F2" w:rsidRDefault="00000000">
      <w:pPr>
        <w:spacing w:after="20" w:line="216" w:lineRule="auto"/>
        <w:ind w:left="216" w:hanging="216"/>
      </w:pPr>
      <w:r>
        <w:rPr>
          <w:sz w:val="14"/>
        </w:rPr>
        <w:t>Intergovernmental Panel on Climate Change (IPCC). (2019). 2019 Refinement to the 2006 IPCC Guidelines for National Greenhouse Gas Inventories, Volume 4: Agriculture, Forestry and Other Land Use.</w:t>
      </w:r>
    </w:p>
    <w:p w:rsidR="00F940F2" w:rsidRDefault="00000000">
      <w:pPr>
        <w:spacing w:after="20" w:line="216" w:lineRule="auto"/>
        <w:ind w:left="216" w:hanging="216"/>
      </w:pPr>
      <w:r>
        <w:rPr>
          <w:sz w:val="14"/>
        </w:rPr>
        <w:t>Intergovernmental Panel on Climate Change (IPCC). (2021). Climate Change 2021: The Physical Science Basis. Cambridge University Press. https://doi.org/10.1017/9781009157896</w:t>
      </w:r>
    </w:p>
    <w:p>
      <w:pPr/>
      <w:r>
        <w:t>Mahecha, L., Corral, G., Murgueitio, M. M., Sánchez Brito, C., Angulo, J., Olivera, M., Solorio, B., Zapata, A., Cuartas, C. A., Naranjo, J. F., Rodríguez-Muela, C., Ramírez, J. A., Mejía, A., Flores, M. X., &amp; Murgueitio, E. (2012). SSPi producen elevada cantidad de carne de alta calidad en Colombia y México. Carta Fedegán, 129, 60–72. https://www.researchgate.net/publication/303486098</w:t>
      </w:r>
    </w:p>
    <w:p w:rsidR="00F940F2" w:rsidRDefault="00000000">
      <w:pPr>
        <w:spacing w:after="20" w:line="216" w:lineRule="auto"/>
        <w:ind w:left="216" w:hanging="216"/>
      </w:pPr>
      <w:r>
        <w:rPr>
          <w:sz w:val="14"/>
        </w:rPr>
        <w:t>Mavisoy, H., Riascos Vallejos, A. R., Castro Rincón, E., et al. (2025). Carbon balance in dairy cattle silvopastoral production systems in Colombia’s Andean-Amazon region. Agroforestry Systems, 99, 136. https://doi.org/10.1007/s10457-025-01233-5</w:t>
      </w:r>
    </w:p>
    <w:p w:rsidR="00F940F2" w:rsidRDefault="00000000">
      <w:pPr>
        <w:spacing w:after="20" w:line="216" w:lineRule="auto"/>
        <w:ind w:left="216" w:hanging="216"/>
      </w:pPr>
      <w:r>
        <w:rPr>
          <w:sz w:val="14"/>
        </w:rPr>
        <w:t>Trujillo-González, J. M., Silva-Parra, A., &amp; Torres-Mora, M. A. (2026). Soil fertility and carbon stocks in contrasting tropical grazing systems on Oxisols of the Colombian Llanos piedmont. Agroforestry Systems, 100, 130. https://doi.org/10.1007/s10457-026-01503-w</w:t>
      </w:r>
    </w:p>
    <w:p w:rsidR="00F940F2" w:rsidRDefault="00000000">
      <w:pPr>
        <w:spacing w:after="20" w:line="216" w:lineRule="auto"/>
        <w:ind w:left="216" w:hanging="216"/>
      </w:pPr>
      <w:r>
        <w:rPr>
          <w:sz w:val="14"/>
        </w:rPr>
        <w:t>Zamora, C., Masolele, R. N., Berger, K., Reiche, J., Martius, C., Verchot, L., Szantoi, Z., &amp; Herold, M. (2026). Refining land-use-specific carbon emission factors for commodity-driven deforestation monitoring in Colombia. Environmental Research Letters, 21(3), 034018. https://doi.org/10.1088/1748-9326/ae36c3</w:t>
      </w:r>
    </w:p>
    <w:sectPr w:rsidR="00F940F2" w:rsidSect="00034616">
      <w:pgSz w:w="15840" w:h="12240" w:orient="landscape"/>
      <w:pgMar w:top="504" w:right="432" w:bottom="504"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8574476">
    <w:abstractNumId w:val="8"/>
  </w:num>
  <w:num w:numId="2" w16cid:durableId="1927227774">
    <w:abstractNumId w:val="6"/>
  </w:num>
  <w:num w:numId="3" w16cid:durableId="1605304647">
    <w:abstractNumId w:val="5"/>
  </w:num>
  <w:num w:numId="4" w16cid:durableId="328799294">
    <w:abstractNumId w:val="4"/>
  </w:num>
  <w:num w:numId="5" w16cid:durableId="219949780">
    <w:abstractNumId w:val="7"/>
  </w:num>
  <w:num w:numId="6" w16cid:durableId="1698004855">
    <w:abstractNumId w:val="3"/>
  </w:num>
  <w:num w:numId="7" w16cid:durableId="574244056">
    <w:abstractNumId w:val="2"/>
  </w:num>
  <w:num w:numId="8" w16cid:durableId="1387291819">
    <w:abstractNumId w:val="1"/>
  </w:num>
  <w:num w:numId="9" w16cid:durableId="77760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55"/>
    <w:rsid w:val="0006063C"/>
    <w:rsid w:val="0015074B"/>
    <w:rsid w:val="0029639D"/>
    <w:rsid w:val="00326F90"/>
    <w:rsid w:val="00AA1D8D"/>
    <w:rsid w:val="00B47730"/>
    <w:rsid w:val="00CB0664"/>
    <w:rsid w:val="00F102A6"/>
    <w:rsid w:val="00F94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2464B7B-EF1E-A545-8A03-378A2B1C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2230</Words>
  <Characters>14500</Characters>
  <Application>Microsoft Office Word</Application>
  <DocSecurity>0</DocSecurity>
  <Lines>268</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camilo prieto</cp:lastModifiedBy>
  <cp:revision>2</cp:revision>
  <dcterms:created xsi:type="dcterms:W3CDTF">2026-09-19T21:52:00Z</dcterms:created>
  <dcterms:modified xsi:type="dcterms:W3CDTF">2026-09-19T21:52:00Z</dcterms:modified>
  <cp:category/>
</cp:coreProperties>
</file>