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57213F" w14:textId="77777777" w:rsidR="004B6056" w:rsidRPr="00920920" w:rsidRDefault="001F1CF3" w:rsidP="009650E0">
      <w:pPr>
        <w:pBdr>
          <w:bottom w:val="single" w:sz="12" w:space="1" w:color="auto"/>
        </w:pBdr>
        <w:ind w:left="2124" w:hanging="2124"/>
        <w:rPr>
          <w:rFonts w:ascii="FS Elliot Pro" w:hAnsi="FS Elliot Pro"/>
          <w:b/>
          <w:color w:val="2F5496" w:themeColor="accent1" w:themeShade="BF"/>
          <w:sz w:val="28"/>
          <w:szCs w:val="28"/>
        </w:rPr>
      </w:pPr>
      <w:r w:rsidRPr="00920920">
        <w:rPr>
          <w:rFonts w:ascii="FS Elliot Pro" w:hAnsi="FS Elliot Pro"/>
          <w:b/>
          <w:color w:val="2F5496" w:themeColor="accent1" w:themeShade="BF"/>
          <w:sz w:val="28"/>
          <w:szCs w:val="28"/>
        </w:rPr>
        <w:t xml:space="preserve">Política de </w:t>
      </w:r>
      <w:r w:rsidR="007A2AC6">
        <w:rPr>
          <w:rFonts w:ascii="FS Elliot Pro" w:hAnsi="FS Elliot Pro"/>
          <w:b/>
          <w:color w:val="2F5496" w:themeColor="accent1" w:themeShade="BF"/>
          <w:sz w:val="28"/>
          <w:szCs w:val="28"/>
        </w:rPr>
        <w:t>Inversiones</w:t>
      </w:r>
    </w:p>
    <w:p w14:paraId="5DA344CD" w14:textId="77777777" w:rsidR="007A2AC6" w:rsidRDefault="007A2AC6" w:rsidP="007A2AC6">
      <w:pPr>
        <w:rPr>
          <w:rFonts w:ascii="FS Elliot Pro" w:hAnsi="FS Elliot Pro"/>
          <w:b/>
          <w:color w:val="2F5496" w:themeColor="accent1" w:themeShade="BF"/>
          <w:sz w:val="28"/>
          <w:szCs w:val="28"/>
        </w:rPr>
      </w:pPr>
    </w:p>
    <w:p w14:paraId="5B936149" w14:textId="77777777" w:rsidR="001F1CF3" w:rsidRPr="001B3E1F" w:rsidRDefault="007A2AC6">
      <w:pPr>
        <w:rPr>
          <w:rFonts w:ascii="FS Elliot Pro" w:hAnsi="FS Elliot Pro"/>
          <w:b/>
          <w:color w:val="2F5496" w:themeColor="accent1" w:themeShade="BF"/>
          <w:sz w:val="24"/>
          <w:szCs w:val="28"/>
        </w:rPr>
      </w:pPr>
      <w:r>
        <w:rPr>
          <w:rFonts w:ascii="FS Elliot Pro" w:hAnsi="FS Elliot Pro"/>
          <w:b/>
          <w:color w:val="2F5496" w:themeColor="accent1" w:themeShade="BF"/>
          <w:sz w:val="28"/>
          <w:szCs w:val="28"/>
        </w:rPr>
        <w:t>1</w:t>
      </w:r>
      <w:r w:rsidRPr="001F1CF3">
        <w:rPr>
          <w:rFonts w:ascii="FS Elliot Pro" w:hAnsi="FS Elliot Pro"/>
          <w:b/>
          <w:color w:val="2F5496" w:themeColor="accent1" w:themeShade="BF"/>
          <w:sz w:val="28"/>
          <w:szCs w:val="28"/>
        </w:rPr>
        <w:t>.</w:t>
      </w:r>
      <w:r>
        <w:rPr>
          <w:rFonts w:ascii="FS Elliot Pro" w:hAnsi="FS Elliot Pro"/>
          <w:b/>
          <w:color w:val="2F5496" w:themeColor="accent1" w:themeShade="BF"/>
          <w:sz w:val="28"/>
          <w:szCs w:val="28"/>
        </w:rPr>
        <w:t xml:space="preserve"> </w:t>
      </w:r>
      <w:r w:rsidRPr="001F1CF3">
        <w:rPr>
          <w:rFonts w:ascii="FS Elliot Pro" w:hAnsi="FS Elliot Pro"/>
          <w:b/>
          <w:color w:val="2F5496" w:themeColor="accent1" w:themeShade="BF"/>
          <w:sz w:val="28"/>
          <w:szCs w:val="28"/>
        </w:rPr>
        <w:t>Po</w:t>
      </w:r>
      <w:r>
        <w:rPr>
          <w:rFonts w:ascii="FS Elliot Pro" w:hAnsi="FS Elliot Pro"/>
          <w:b/>
          <w:color w:val="2F5496" w:themeColor="accent1" w:themeShade="BF"/>
          <w:sz w:val="28"/>
          <w:szCs w:val="28"/>
        </w:rPr>
        <w:t xml:space="preserve">lítica </w:t>
      </w:r>
      <w:r w:rsidRPr="007A2AC6">
        <w:rPr>
          <w:rFonts w:ascii="FS Elliot Pro" w:hAnsi="FS Elliot Pro"/>
          <w:b/>
          <w:color w:val="2F5496" w:themeColor="accent1" w:themeShade="BF"/>
          <w:sz w:val="28"/>
          <w:szCs w:val="28"/>
        </w:rPr>
        <w:t>de Inversiones para reservas de rentas vitalicias y rentas privadas</w:t>
      </w:r>
    </w:p>
    <w:p w14:paraId="40080E2D" w14:textId="77777777" w:rsidR="001F1CF3" w:rsidRPr="001F1CF3" w:rsidRDefault="001F1CF3" w:rsidP="001F1CF3">
      <w:pPr>
        <w:rPr>
          <w:rFonts w:ascii="FS Elliot Pro" w:hAnsi="FS Elliot Pro"/>
          <w:b/>
          <w:color w:val="2F5496" w:themeColor="accent1" w:themeShade="BF"/>
          <w:sz w:val="28"/>
          <w:szCs w:val="28"/>
        </w:rPr>
      </w:pPr>
      <w:bookmarkStart w:id="0" w:name="_Hlk13652456"/>
      <w:r w:rsidRPr="001F1CF3">
        <w:rPr>
          <w:rFonts w:ascii="FS Elliot Pro" w:hAnsi="FS Elliot Pro"/>
          <w:b/>
          <w:color w:val="2F5496" w:themeColor="accent1" w:themeShade="BF"/>
          <w:sz w:val="28"/>
          <w:szCs w:val="28"/>
        </w:rPr>
        <w:t>a. Propósito</w:t>
      </w:r>
      <w:r w:rsidR="007A2AC6">
        <w:rPr>
          <w:rFonts w:ascii="FS Elliot Pro" w:hAnsi="FS Elliot Pro"/>
          <w:b/>
          <w:color w:val="2F5496" w:themeColor="accent1" w:themeShade="BF"/>
          <w:sz w:val="28"/>
          <w:szCs w:val="28"/>
        </w:rPr>
        <w:t>s</w:t>
      </w:r>
    </w:p>
    <w:bookmarkEnd w:id="0"/>
    <w:p w14:paraId="1014BA54" w14:textId="77777777" w:rsidR="007A2AC6" w:rsidRPr="007A2AC6" w:rsidRDefault="007A2AC6" w:rsidP="007A2AC6">
      <w:pPr>
        <w:jc w:val="both"/>
        <w:rPr>
          <w:rFonts w:ascii="FS Elliot Pro" w:hAnsi="FS Elliot Pro"/>
          <w:b/>
          <w:color w:val="2F5496" w:themeColor="accent1" w:themeShade="BF"/>
        </w:rPr>
      </w:pPr>
      <w:r w:rsidRPr="007A2AC6">
        <w:rPr>
          <w:rFonts w:ascii="FS Elliot Pro" w:hAnsi="FS Elliot Pro"/>
          <w:b/>
          <w:color w:val="2F5496" w:themeColor="accent1" w:themeShade="BF"/>
        </w:rPr>
        <w:t>• Objetivo de las Carteras de Inversiones.</w:t>
      </w:r>
    </w:p>
    <w:p w14:paraId="063CE42A" w14:textId="77777777" w:rsidR="007A2AC6" w:rsidRPr="007A2AC6" w:rsidRDefault="007A2AC6" w:rsidP="007A2AC6">
      <w:pPr>
        <w:jc w:val="both"/>
        <w:rPr>
          <w:rFonts w:ascii="FS Elliot Pro" w:hAnsi="FS Elliot Pro"/>
        </w:rPr>
      </w:pPr>
      <w:r w:rsidRPr="007A2AC6">
        <w:rPr>
          <w:rFonts w:ascii="FS Elliot Pro" w:hAnsi="FS Elliot Pro"/>
        </w:rPr>
        <w:t>Los objetivos de cada cartera de inversiones son los siguientes:</w:t>
      </w:r>
    </w:p>
    <w:p w14:paraId="6909C2D9" w14:textId="77777777" w:rsidR="007A2AC6" w:rsidRPr="007A2AC6" w:rsidRDefault="007A2AC6" w:rsidP="007A2AC6">
      <w:pPr>
        <w:ind w:firstLine="708"/>
        <w:jc w:val="both"/>
        <w:rPr>
          <w:rFonts w:ascii="FS Elliot Pro" w:hAnsi="FS Elliot Pro"/>
        </w:rPr>
      </w:pPr>
      <w:r w:rsidRPr="007A2AC6">
        <w:rPr>
          <w:rFonts w:ascii="FS Elliot Pro" w:hAnsi="FS Elliot Pro"/>
        </w:rPr>
        <w:t>a.</w:t>
      </w:r>
      <w:r>
        <w:rPr>
          <w:rFonts w:ascii="FS Elliot Pro" w:hAnsi="FS Elliot Pro"/>
        </w:rPr>
        <w:t xml:space="preserve"> </w:t>
      </w:r>
      <w:r w:rsidRPr="007A2AC6">
        <w:rPr>
          <w:rFonts w:ascii="FS Elliot Pro" w:hAnsi="FS Elliot Pro"/>
        </w:rPr>
        <w:t xml:space="preserve">Responder adecuadamente con los compromisos asumidos con los clientes de cada uno de los productos de Principal Vida Chile, minimizando los riesgos de escenarios adversos y cumpliendo con la normativa vigente. </w:t>
      </w:r>
    </w:p>
    <w:p w14:paraId="3684E363" w14:textId="77777777" w:rsidR="007A2AC6" w:rsidRPr="007A2AC6" w:rsidRDefault="007A2AC6" w:rsidP="007A2AC6">
      <w:pPr>
        <w:ind w:firstLine="708"/>
        <w:jc w:val="both"/>
        <w:rPr>
          <w:rFonts w:ascii="FS Elliot Pro" w:hAnsi="FS Elliot Pro"/>
        </w:rPr>
      </w:pPr>
      <w:r w:rsidRPr="007A2AC6">
        <w:rPr>
          <w:rFonts w:ascii="FS Elliot Pro" w:hAnsi="FS Elliot Pro"/>
        </w:rPr>
        <w:t>b.</w:t>
      </w:r>
      <w:r>
        <w:rPr>
          <w:rFonts w:ascii="FS Elliot Pro" w:hAnsi="FS Elliot Pro"/>
        </w:rPr>
        <w:t xml:space="preserve"> </w:t>
      </w:r>
      <w:r w:rsidRPr="007A2AC6">
        <w:rPr>
          <w:rFonts w:ascii="FS Elliot Pro" w:hAnsi="FS Elliot Pro"/>
        </w:rPr>
        <w:t xml:space="preserve">Garantizar en la medida de lo posible un adecuado retorno para el accionista que compense debidamente por el riesgo asumido en este negocio. </w:t>
      </w:r>
    </w:p>
    <w:p w14:paraId="23141DAA" w14:textId="77777777" w:rsidR="007A2AC6" w:rsidRPr="007A2AC6" w:rsidRDefault="007A2AC6" w:rsidP="007A2AC6">
      <w:pPr>
        <w:jc w:val="both"/>
        <w:rPr>
          <w:rFonts w:ascii="FS Elliot Pro" w:hAnsi="FS Elliot Pro"/>
          <w:b/>
          <w:color w:val="2F5496" w:themeColor="accent1" w:themeShade="BF"/>
        </w:rPr>
      </w:pPr>
    </w:p>
    <w:p w14:paraId="55C2CE49" w14:textId="77777777" w:rsidR="007A2AC6" w:rsidRPr="007A2AC6" w:rsidRDefault="007A2AC6" w:rsidP="007A2AC6">
      <w:pPr>
        <w:jc w:val="both"/>
        <w:rPr>
          <w:rFonts w:ascii="FS Elliot Pro" w:hAnsi="FS Elliot Pro"/>
          <w:b/>
          <w:color w:val="2F5496" w:themeColor="accent1" w:themeShade="BF"/>
        </w:rPr>
      </w:pPr>
      <w:r w:rsidRPr="007A2AC6">
        <w:rPr>
          <w:rFonts w:ascii="FS Elliot Pro" w:hAnsi="FS Elliot Pro"/>
          <w:b/>
          <w:color w:val="2F5496" w:themeColor="accent1" w:themeShade="BF"/>
        </w:rPr>
        <w:t xml:space="preserve">• Objetivo de esta Política de Inversiones. </w:t>
      </w:r>
    </w:p>
    <w:p w14:paraId="2D70A3F5" w14:textId="77777777" w:rsidR="007A2AC6" w:rsidRPr="007A2AC6" w:rsidRDefault="007A2AC6" w:rsidP="007A2AC6">
      <w:pPr>
        <w:jc w:val="both"/>
        <w:rPr>
          <w:rFonts w:ascii="FS Elliot Pro" w:hAnsi="FS Elliot Pro"/>
        </w:rPr>
      </w:pPr>
      <w:r w:rsidRPr="007A2AC6">
        <w:rPr>
          <w:rFonts w:ascii="FS Elliot Pro" w:hAnsi="FS Elliot Pro"/>
        </w:rPr>
        <w:t>El objetivo de la Política de Inversiones es el de establecer un marco de acción en el cual tiene que estar circunscrita la Estrategia de Inversiones. La Estrategia de Inversiones incorpora todas las decisiones de inversión relacionadas con cada cartera.</w:t>
      </w:r>
    </w:p>
    <w:p w14:paraId="554EB4E3" w14:textId="77777777" w:rsidR="001F1CF3" w:rsidRDefault="001F1CF3" w:rsidP="001F1CF3">
      <w:pPr>
        <w:jc w:val="both"/>
        <w:rPr>
          <w:rFonts w:ascii="FS Elliot Pro" w:hAnsi="FS Elliot Pro"/>
          <w:sz w:val="24"/>
          <w:szCs w:val="28"/>
        </w:rPr>
      </w:pPr>
    </w:p>
    <w:p w14:paraId="477E3BDC" w14:textId="77777777" w:rsidR="001F1CF3" w:rsidRDefault="001F1CF3" w:rsidP="001F1CF3">
      <w:pPr>
        <w:jc w:val="both"/>
        <w:rPr>
          <w:rFonts w:ascii="FS Elliot Pro" w:hAnsi="FS Elliot Pro"/>
          <w:b/>
          <w:color w:val="2F5496" w:themeColor="accent1" w:themeShade="BF"/>
          <w:sz w:val="28"/>
          <w:szCs w:val="28"/>
        </w:rPr>
      </w:pPr>
      <w:bookmarkStart w:id="1" w:name="_Hlk13652460"/>
      <w:r>
        <w:rPr>
          <w:rFonts w:ascii="FS Elliot Pro" w:hAnsi="FS Elliot Pro"/>
          <w:b/>
          <w:color w:val="2F5496" w:themeColor="accent1" w:themeShade="BF"/>
          <w:sz w:val="28"/>
          <w:szCs w:val="28"/>
        </w:rPr>
        <w:t>b. Alcance</w:t>
      </w:r>
    </w:p>
    <w:bookmarkEnd w:id="1"/>
    <w:p w14:paraId="50CB4721" w14:textId="77777777" w:rsidR="001F1CF3" w:rsidRDefault="001F1CF3" w:rsidP="001F1CF3">
      <w:pPr>
        <w:spacing w:line="240" w:lineRule="auto"/>
        <w:jc w:val="both"/>
        <w:rPr>
          <w:rFonts w:ascii="FS Elliot Pro" w:hAnsi="FS Elliot Pro"/>
        </w:rPr>
      </w:pPr>
      <w:r w:rsidRPr="001F1CF3">
        <w:rPr>
          <w:rFonts w:ascii="FS Elliot Pro" w:hAnsi="FS Elliot Pro"/>
        </w:rPr>
        <w:t xml:space="preserve">Esta política </w:t>
      </w:r>
      <w:r w:rsidR="00092A74">
        <w:rPr>
          <w:rFonts w:ascii="FS Elliot Pro" w:hAnsi="FS Elliot Pro"/>
        </w:rPr>
        <w:t>aplica a todos los directores y colaboradores de PVCH.</w:t>
      </w:r>
    </w:p>
    <w:p w14:paraId="21749F85" w14:textId="77777777" w:rsidR="001F1CF3" w:rsidRPr="001F1CF3" w:rsidRDefault="001F1CF3" w:rsidP="001F1CF3">
      <w:pPr>
        <w:jc w:val="both"/>
        <w:rPr>
          <w:rFonts w:ascii="FS Elliot Pro" w:hAnsi="FS Elliot Pro"/>
          <w:sz w:val="24"/>
          <w:szCs w:val="24"/>
        </w:rPr>
      </w:pPr>
      <w:bookmarkStart w:id="2" w:name="_Hlk13652463"/>
    </w:p>
    <w:p w14:paraId="121885B0" w14:textId="77777777" w:rsidR="001F1CF3" w:rsidRDefault="001F1CF3" w:rsidP="001F1CF3">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c. Estándares</w:t>
      </w:r>
    </w:p>
    <w:p w14:paraId="51CD78A5" w14:textId="77777777" w:rsidR="007A2AC6" w:rsidRDefault="007A2AC6" w:rsidP="007A2AC6">
      <w:pPr>
        <w:pStyle w:val="Prrafodelista"/>
        <w:numPr>
          <w:ilvl w:val="0"/>
          <w:numId w:val="4"/>
        </w:numPr>
        <w:jc w:val="both"/>
        <w:rPr>
          <w:rFonts w:ascii="FS Elliot Pro" w:hAnsi="FS Elliot Pro"/>
          <w:b/>
          <w:color w:val="2F5496" w:themeColor="accent1" w:themeShade="BF"/>
          <w:szCs w:val="28"/>
        </w:rPr>
      </w:pPr>
      <w:r w:rsidRPr="007A2AC6">
        <w:rPr>
          <w:rFonts w:ascii="FS Elliot Pro" w:hAnsi="FS Elliot Pro"/>
          <w:b/>
          <w:color w:val="2F5496" w:themeColor="accent1" w:themeShade="BF"/>
          <w:szCs w:val="28"/>
        </w:rPr>
        <w:t>Clasificación de las Inversiones de la Compañía</w:t>
      </w:r>
    </w:p>
    <w:p w14:paraId="529A2543" w14:textId="77777777" w:rsidR="007A2AC6" w:rsidRPr="007A2AC6" w:rsidRDefault="007A2AC6" w:rsidP="007A2AC6">
      <w:pPr>
        <w:jc w:val="both"/>
        <w:rPr>
          <w:rFonts w:ascii="FS Elliot Pro" w:hAnsi="FS Elliot Pro"/>
          <w:szCs w:val="28"/>
        </w:rPr>
      </w:pPr>
      <w:r w:rsidRPr="007A2AC6">
        <w:rPr>
          <w:rFonts w:ascii="FS Elliot Pro" w:hAnsi="FS Elliot Pro"/>
          <w:szCs w:val="28"/>
        </w:rPr>
        <w:t xml:space="preserve">Principal Vida Chile mantiene inversiones para respaldar los siguientes productos: Rentas Vitalicias del D.L.3500, Rentas Vitalicias Privadas, Seguros con Ahorro del tipo Universal Life y Seguros de Vida e Invalidez. </w:t>
      </w:r>
    </w:p>
    <w:p w14:paraId="7E945493" w14:textId="77777777" w:rsidR="007A2AC6" w:rsidRDefault="007A2AC6" w:rsidP="007A2AC6">
      <w:pPr>
        <w:jc w:val="both"/>
        <w:rPr>
          <w:rFonts w:ascii="FS Elliot Pro" w:hAnsi="FS Elliot Pro"/>
          <w:szCs w:val="28"/>
        </w:rPr>
      </w:pPr>
      <w:r w:rsidRPr="007A2AC6">
        <w:rPr>
          <w:rFonts w:ascii="FS Elliot Pro" w:hAnsi="FS Elliot Pro"/>
          <w:szCs w:val="28"/>
        </w:rPr>
        <w:t>Las inversiones de Principal Vida Chile se pueden clasificar en tres grupos: (1) inversiones para respaldar la reserva y capital de riesgo que se generan con los productos de prima única en los cuales se asume el compromiso de pagar una renta definida en el tiempo, (2) inversiones para respaldar la reserva de ahorro (o reserva de valor del fondo) de los productos con componente de ahorro, y (3) inversiones para respaldar la reserva de riesgo de los productos que incluyen seguros de vida, invalidez u otro tipo de riesgo personal.</w:t>
      </w:r>
    </w:p>
    <w:p w14:paraId="1B7D986C" w14:textId="77777777" w:rsidR="007A2AC6" w:rsidRPr="007A2AC6" w:rsidRDefault="007A2AC6" w:rsidP="007A2AC6">
      <w:pPr>
        <w:jc w:val="both"/>
        <w:rPr>
          <w:rFonts w:ascii="FS Elliot Pro" w:hAnsi="FS Elliot Pro"/>
          <w:szCs w:val="28"/>
        </w:rPr>
      </w:pPr>
    </w:p>
    <w:p w14:paraId="3C4D1504" w14:textId="77777777" w:rsidR="007A2AC6" w:rsidRDefault="007A2AC6" w:rsidP="007A2AC6">
      <w:pPr>
        <w:pStyle w:val="Prrafodelista"/>
        <w:numPr>
          <w:ilvl w:val="0"/>
          <w:numId w:val="4"/>
        </w:numPr>
        <w:jc w:val="both"/>
        <w:rPr>
          <w:rFonts w:ascii="FS Elliot Pro" w:hAnsi="FS Elliot Pro"/>
          <w:b/>
          <w:color w:val="2F5496" w:themeColor="accent1" w:themeShade="BF"/>
          <w:szCs w:val="28"/>
        </w:rPr>
      </w:pPr>
      <w:r w:rsidRPr="007A2AC6">
        <w:rPr>
          <w:rFonts w:ascii="FS Elliot Pro" w:hAnsi="FS Elliot Pro"/>
          <w:b/>
          <w:color w:val="2F5496" w:themeColor="accent1" w:themeShade="BF"/>
          <w:szCs w:val="28"/>
        </w:rPr>
        <w:lastRenderedPageBreak/>
        <w:t>Identificación de la Cartera de Rentas Vitalicias y Privadas</w:t>
      </w:r>
    </w:p>
    <w:p w14:paraId="742C139D" w14:textId="77777777" w:rsidR="007A2AC6" w:rsidRDefault="007A2AC6" w:rsidP="007A2AC6">
      <w:pPr>
        <w:jc w:val="both"/>
        <w:rPr>
          <w:rFonts w:ascii="FS Elliot Pro" w:hAnsi="FS Elliot Pro"/>
          <w:szCs w:val="28"/>
        </w:rPr>
      </w:pPr>
      <w:r w:rsidRPr="007A2AC6">
        <w:rPr>
          <w:rFonts w:ascii="FS Elliot Pro" w:hAnsi="FS Elliot Pro"/>
          <w:szCs w:val="28"/>
        </w:rPr>
        <w:t>Para el caso de las inversiones que respaldan la reserva y capital de riesgo que se generan con los productos de prima única en los cuales se asume el compromiso de pagar una renta definida en el tiempo, el monto de la cartera de inversiones será igual a las reservas técnicas más el capital de riesgo definidos por el regulador para los productos de Rentas Vitalicias del D.L.3500 y Privadas.</w:t>
      </w:r>
    </w:p>
    <w:p w14:paraId="59F97415" w14:textId="77777777" w:rsidR="007A2AC6" w:rsidRPr="007A2AC6" w:rsidRDefault="007A2AC6" w:rsidP="007A2AC6">
      <w:pPr>
        <w:jc w:val="both"/>
        <w:rPr>
          <w:rFonts w:ascii="FS Elliot Pro" w:hAnsi="FS Elliot Pro"/>
          <w:szCs w:val="28"/>
        </w:rPr>
      </w:pPr>
    </w:p>
    <w:p w14:paraId="51E721D2" w14:textId="77777777" w:rsidR="007A2AC6" w:rsidRDefault="007A2AC6" w:rsidP="007A2AC6">
      <w:pPr>
        <w:pStyle w:val="Prrafodelista"/>
        <w:numPr>
          <w:ilvl w:val="0"/>
          <w:numId w:val="4"/>
        </w:numPr>
        <w:jc w:val="both"/>
        <w:rPr>
          <w:rFonts w:ascii="FS Elliot Pro" w:hAnsi="FS Elliot Pro"/>
          <w:b/>
          <w:color w:val="2F5496" w:themeColor="accent1" w:themeShade="BF"/>
          <w:szCs w:val="28"/>
        </w:rPr>
      </w:pPr>
      <w:r w:rsidRPr="007A2AC6">
        <w:rPr>
          <w:rFonts w:ascii="FS Elliot Pro" w:hAnsi="FS Elliot Pro"/>
          <w:b/>
          <w:color w:val="2F5496" w:themeColor="accent1" w:themeShade="BF"/>
          <w:szCs w:val="28"/>
        </w:rPr>
        <w:t>Análisis de los Riesgos Más Relevantes</w:t>
      </w:r>
    </w:p>
    <w:p w14:paraId="2B09471D" w14:textId="77777777" w:rsidR="007A2AC6" w:rsidRPr="007A2AC6" w:rsidRDefault="007A2AC6" w:rsidP="007A2AC6">
      <w:pPr>
        <w:jc w:val="both"/>
        <w:rPr>
          <w:rFonts w:ascii="FS Elliot Pro" w:hAnsi="FS Elliot Pro"/>
          <w:szCs w:val="28"/>
        </w:rPr>
      </w:pPr>
      <w:r w:rsidRPr="007A2AC6">
        <w:rPr>
          <w:rFonts w:ascii="FS Elliot Pro" w:hAnsi="FS Elliot Pro"/>
          <w:szCs w:val="28"/>
        </w:rPr>
        <w:t xml:space="preserve">Los riegos más relevantes se detallan en la Política de Gestion de Assset and Liability Management (ALM). Los principales riesgos identificados en dicha política son: </w:t>
      </w:r>
    </w:p>
    <w:p w14:paraId="1DF9E480" w14:textId="77777777" w:rsidR="007A2AC6" w:rsidRPr="007A2AC6" w:rsidRDefault="007A2AC6" w:rsidP="007A2AC6">
      <w:pPr>
        <w:ind w:firstLine="708"/>
        <w:jc w:val="both"/>
        <w:rPr>
          <w:rFonts w:ascii="FS Elliot Pro" w:hAnsi="FS Elliot Pro"/>
          <w:b/>
          <w:color w:val="2F5496" w:themeColor="accent1" w:themeShade="BF"/>
          <w:szCs w:val="28"/>
        </w:rPr>
      </w:pPr>
      <w:r w:rsidRPr="007A2AC6">
        <w:rPr>
          <w:rFonts w:ascii="FS Elliot Pro" w:hAnsi="FS Elliot Pro"/>
          <w:b/>
          <w:color w:val="2F5496" w:themeColor="accent1" w:themeShade="BF"/>
          <w:szCs w:val="28"/>
        </w:rPr>
        <w:t>1) Riesgo de Crédito:</w:t>
      </w:r>
    </w:p>
    <w:p w14:paraId="16BFC87C" w14:textId="77777777" w:rsidR="007A2AC6" w:rsidRPr="007A2AC6" w:rsidRDefault="007A2AC6" w:rsidP="007A2AC6">
      <w:pPr>
        <w:jc w:val="both"/>
        <w:rPr>
          <w:rFonts w:ascii="FS Elliot Pro" w:hAnsi="FS Elliot Pro"/>
          <w:szCs w:val="28"/>
        </w:rPr>
      </w:pPr>
      <w:r w:rsidRPr="007A2AC6">
        <w:rPr>
          <w:rFonts w:ascii="FS Elliot Pro" w:hAnsi="FS Elliot Pro"/>
          <w:szCs w:val="28"/>
        </w:rPr>
        <w:t xml:space="preserve">Default – El riesgo de que el emisor de un activo en que se invierte incumpla sus obligaciones o de que su clasificación de riesgo sea rebajada. Este riesgo se materializa mediante pérdidas de crédito (spread de crédito) y provisiones/reservas por incobrables, que impactan negativamente los indicadores de capital. </w:t>
      </w:r>
    </w:p>
    <w:p w14:paraId="567B098C" w14:textId="77777777" w:rsidR="007A2AC6" w:rsidRPr="007A2AC6" w:rsidRDefault="007A2AC6" w:rsidP="007A2AC6">
      <w:pPr>
        <w:jc w:val="both"/>
        <w:rPr>
          <w:rFonts w:ascii="FS Elliot Pro" w:hAnsi="FS Elliot Pro"/>
          <w:szCs w:val="28"/>
        </w:rPr>
      </w:pPr>
      <w:r w:rsidRPr="007A2AC6">
        <w:rPr>
          <w:rFonts w:ascii="FS Elliot Pro" w:hAnsi="FS Elliot Pro"/>
          <w:szCs w:val="28"/>
        </w:rPr>
        <w:t xml:space="preserve">Esto también produciría cambios inesperados en los flujos de caja proyectados, aumentando potencialmente la exposición al riesgo de reinversión, dado que la duración promedio de los activos es inferior a la de los pasivos, debido a la falta de opciones de inversión a largo plazo. </w:t>
      </w:r>
    </w:p>
    <w:p w14:paraId="492A2B28" w14:textId="77777777" w:rsidR="007A2AC6" w:rsidRPr="007A2AC6" w:rsidRDefault="007A2AC6" w:rsidP="007A2AC6">
      <w:pPr>
        <w:jc w:val="both"/>
        <w:rPr>
          <w:rFonts w:ascii="FS Elliot Pro" w:hAnsi="FS Elliot Pro"/>
          <w:szCs w:val="28"/>
        </w:rPr>
      </w:pPr>
      <w:r w:rsidRPr="007A2AC6">
        <w:rPr>
          <w:rFonts w:ascii="FS Elliot Pro" w:hAnsi="FS Elliot Pro"/>
          <w:szCs w:val="28"/>
        </w:rPr>
        <w:t>Para limitar el riesgo de crédito, la presente política incluye límites a las clases de activos, emisores, exposición internacional y empresas relacionadas.</w:t>
      </w:r>
    </w:p>
    <w:p w14:paraId="71C67B90" w14:textId="77777777" w:rsidR="007A2AC6" w:rsidRPr="007A2AC6" w:rsidRDefault="007A2AC6" w:rsidP="007A2AC6">
      <w:pPr>
        <w:ind w:firstLine="708"/>
        <w:jc w:val="both"/>
        <w:rPr>
          <w:rFonts w:ascii="FS Elliot Pro" w:hAnsi="FS Elliot Pro"/>
          <w:b/>
          <w:color w:val="2F5496" w:themeColor="accent1" w:themeShade="BF"/>
          <w:szCs w:val="28"/>
        </w:rPr>
      </w:pPr>
      <w:r w:rsidRPr="007A2AC6">
        <w:rPr>
          <w:rFonts w:ascii="FS Elliot Pro" w:hAnsi="FS Elliot Pro"/>
          <w:b/>
          <w:color w:val="2F5496" w:themeColor="accent1" w:themeShade="BF"/>
          <w:szCs w:val="28"/>
        </w:rPr>
        <w:t>2) Riesgo de Mercado:</w:t>
      </w:r>
    </w:p>
    <w:p w14:paraId="667F41F0" w14:textId="77777777" w:rsidR="007A2AC6" w:rsidRPr="007A2AC6" w:rsidRDefault="007A2AC6" w:rsidP="007A2AC6">
      <w:pPr>
        <w:jc w:val="both"/>
        <w:rPr>
          <w:rFonts w:ascii="FS Elliot Pro" w:hAnsi="FS Elliot Pro"/>
          <w:szCs w:val="28"/>
        </w:rPr>
      </w:pPr>
      <w:r w:rsidRPr="007A2AC6">
        <w:rPr>
          <w:rFonts w:ascii="FS Elliot Pro" w:hAnsi="FS Elliot Pro"/>
          <w:color w:val="2F5496" w:themeColor="accent1" w:themeShade="BF"/>
          <w:szCs w:val="28"/>
        </w:rPr>
        <w:t xml:space="preserve">a) Riesgo de Fuertes Movimientos Adversos de Precios: </w:t>
      </w:r>
      <w:r w:rsidRPr="007A2AC6">
        <w:rPr>
          <w:rFonts w:ascii="FS Elliot Pro" w:hAnsi="FS Elliot Pro"/>
          <w:szCs w:val="28"/>
        </w:rPr>
        <w:t xml:space="preserve">Este riesgo sólo es relevante para aquellos instrumentos de inversión cuyos flujos no se corresponden o no calzan los flujos de pasivo, lo que puede eventualmente generar pérdidas si es que existe la obligación de vender el instrumento en condiciones desfavorables. Para el caso de Inversiones que respaldan Reservas de Rentas Vitalicias o Privadas, se pueden considerar como instrumentos de calce todos aquellos instrumentos, o combinaciones de instrumentos, en los que se generan flujos fijos de la misma naturaleza que los flujos de pasivo. Por lo tanto, el riesgo de volatilidad de precios sólo estaría referido a los instrumentos de renta variable, para los cuales Un máximo de 10% del portafolio total será permitido. </w:t>
      </w:r>
    </w:p>
    <w:p w14:paraId="3B11937E" w14:textId="440369B7" w:rsidR="007A2AC6" w:rsidRPr="007A2AC6" w:rsidRDefault="007A2AC6" w:rsidP="007A2AC6">
      <w:pPr>
        <w:jc w:val="both"/>
        <w:rPr>
          <w:rFonts w:ascii="FS Elliot Pro" w:hAnsi="FS Elliot Pro"/>
          <w:szCs w:val="28"/>
        </w:rPr>
      </w:pPr>
      <w:r w:rsidRPr="007A2AC6">
        <w:rPr>
          <w:rFonts w:ascii="FS Elliot Pro" w:hAnsi="FS Elliot Pro"/>
          <w:color w:val="2F5496" w:themeColor="accent1" w:themeShade="BF"/>
          <w:szCs w:val="28"/>
        </w:rPr>
        <w:t xml:space="preserve">b) Riesgo de Reinversión: </w:t>
      </w:r>
      <w:r w:rsidRPr="007A2AC6">
        <w:rPr>
          <w:rFonts w:ascii="FS Elliot Pro" w:hAnsi="FS Elliot Pro"/>
          <w:szCs w:val="28"/>
        </w:rPr>
        <w:t>La reinversión de excedentes de flujo de caja está sujeta a condiciones de mercado fluctuantes y podría resultar en spreads</w:t>
      </w:r>
      <w:r w:rsidR="00FB5B52">
        <w:rPr>
          <w:rFonts w:ascii="FS Elliot Pro" w:hAnsi="FS Elliot Pro"/>
          <w:szCs w:val="28"/>
        </w:rPr>
        <w:t xml:space="preserve"> y/o tasas de interés</w:t>
      </w:r>
      <w:r w:rsidRPr="007A2AC6">
        <w:rPr>
          <w:rFonts w:ascii="FS Elliot Pro" w:hAnsi="FS Elliot Pro"/>
          <w:szCs w:val="28"/>
        </w:rPr>
        <w:t xml:space="preserve"> más bajos que los definidos en la tarificación. Es deseable que cada flujo de pasivo esté calzado con un flujo de activo, y la actividad de inversiones debe intentar cumplir con ese objetivo.</w:t>
      </w:r>
    </w:p>
    <w:p w14:paraId="2C54138E" w14:textId="77777777" w:rsidR="007A2AC6" w:rsidRPr="007A2AC6" w:rsidRDefault="007A2AC6" w:rsidP="007A2AC6">
      <w:pPr>
        <w:jc w:val="both"/>
        <w:rPr>
          <w:rFonts w:ascii="FS Elliot Pro" w:hAnsi="FS Elliot Pro"/>
          <w:color w:val="2F5496" w:themeColor="accent1" w:themeShade="BF"/>
          <w:szCs w:val="28"/>
        </w:rPr>
      </w:pPr>
      <w:r w:rsidRPr="007A2AC6">
        <w:rPr>
          <w:rFonts w:ascii="FS Elliot Pro" w:hAnsi="FS Elliot Pro"/>
          <w:color w:val="2F5496" w:themeColor="accent1" w:themeShade="BF"/>
          <w:szCs w:val="28"/>
        </w:rPr>
        <w:t xml:space="preserve">c) Riesgo de Descalce: </w:t>
      </w:r>
    </w:p>
    <w:p w14:paraId="307EECB4" w14:textId="77777777" w:rsidR="007A2AC6" w:rsidRPr="007A2AC6" w:rsidRDefault="007A2AC6" w:rsidP="007A2AC6">
      <w:pPr>
        <w:jc w:val="both"/>
        <w:rPr>
          <w:rFonts w:ascii="FS Elliot Pro" w:hAnsi="FS Elliot Pro"/>
          <w:szCs w:val="28"/>
        </w:rPr>
      </w:pPr>
      <w:r>
        <w:rPr>
          <w:rFonts w:ascii="FS Elliot Pro" w:hAnsi="FS Elliot Pro"/>
          <w:szCs w:val="28"/>
        </w:rPr>
        <w:tab/>
      </w:r>
      <w:r w:rsidRPr="007A2AC6">
        <w:rPr>
          <w:rFonts w:ascii="FS Elliot Pro" w:hAnsi="FS Elliot Pro"/>
          <w:szCs w:val="28"/>
        </w:rPr>
        <w:t>i)</w:t>
      </w:r>
      <w:r>
        <w:rPr>
          <w:rFonts w:ascii="FS Elliot Pro" w:hAnsi="FS Elliot Pro"/>
          <w:szCs w:val="28"/>
        </w:rPr>
        <w:t xml:space="preserve"> </w:t>
      </w:r>
      <w:r w:rsidRPr="007A2AC6">
        <w:rPr>
          <w:rFonts w:ascii="FS Elliot Pro" w:hAnsi="FS Elliot Pro"/>
          <w:szCs w:val="28"/>
        </w:rPr>
        <w:t>Riesgo de Tasa de Interés: el riesgo de pérdida que se origina por cambios en las tasas de interés, incluyendo los riesgos de reinversión y de prepago.</w:t>
      </w:r>
    </w:p>
    <w:p w14:paraId="104B7F20" w14:textId="77777777" w:rsidR="007A2AC6" w:rsidRPr="007A2AC6" w:rsidRDefault="007A2AC6" w:rsidP="007A2AC6">
      <w:pPr>
        <w:ind w:firstLine="708"/>
        <w:jc w:val="both"/>
        <w:rPr>
          <w:rFonts w:ascii="FS Elliot Pro" w:hAnsi="FS Elliot Pro"/>
          <w:szCs w:val="28"/>
        </w:rPr>
      </w:pPr>
      <w:r w:rsidRPr="007A2AC6">
        <w:rPr>
          <w:rFonts w:ascii="FS Elliot Pro" w:hAnsi="FS Elliot Pro"/>
          <w:szCs w:val="28"/>
        </w:rPr>
        <w:lastRenderedPageBreak/>
        <w:t>ii)</w:t>
      </w:r>
      <w:r>
        <w:rPr>
          <w:rFonts w:ascii="FS Elliot Pro" w:hAnsi="FS Elliot Pro"/>
          <w:szCs w:val="28"/>
        </w:rPr>
        <w:t xml:space="preserve"> </w:t>
      </w:r>
      <w:r w:rsidRPr="007A2AC6">
        <w:rPr>
          <w:rFonts w:ascii="FS Elliot Pro" w:hAnsi="FS Elliot Pro"/>
          <w:szCs w:val="28"/>
        </w:rPr>
        <w:t>Riesgo de divisa/denominación: El riesgo que representa la exposición a volatilidad en el tipo de cambio entre dos divisas.</w:t>
      </w:r>
    </w:p>
    <w:p w14:paraId="3B5897E9" w14:textId="77777777" w:rsidR="007A2AC6" w:rsidRPr="00654CEB" w:rsidRDefault="007A2AC6" w:rsidP="007A2AC6">
      <w:pPr>
        <w:jc w:val="both"/>
        <w:rPr>
          <w:rFonts w:ascii="FS Elliot Pro" w:hAnsi="FS Elliot Pro"/>
          <w:szCs w:val="28"/>
        </w:rPr>
      </w:pPr>
      <w:r w:rsidRPr="007A2AC6">
        <w:rPr>
          <w:rFonts w:ascii="FS Elliot Pro" w:hAnsi="FS Elliot Pro"/>
          <w:szCs w:val="28"/>
        </w:rPr>
        <w:t>Para limitar el riesgo de mercado, la presente política, define más adelante, en la sección “Límites de duration del portafolio” el apetito por riesgo y límites de descalce de la compañía y en la sección “Límite por moneda” el objetivo y límite de exposición a moneda.</w:t>
      </w:r>
    </w:p>
    <w:p w14:paraId="50C8A2B4" w14:textId="77777777" w:rsidR="007A2AC6" w:rsidRPr="007A2AC6" w:rsidRDefault="007A2AC6" w:rsidP="007A2AC6">
      <w:pPr>
        <w:ind w:firstLine="708"/>
        <w:jc w:val="both"/>
        <w:rPr>
          <w:rFonts w:ascii="FS Elliot Pro" w:hAnsi="FS Elliot Pro"/>
          <w:b/>
          <w:color w:val="2F5496" w:themeColor="accent1" w:themeShade="BF"/>
          <w:szCs w:val="28"/>
        </w:rPr>
      </w:pPr>
      <w:r w:rsidRPr="007A2AC6">
        <w:rPr>
          <w:rFonts w:ascii="FS Elliot Pro" w:hAnsi="FS Elliot Pro"/>
          <w:b/>
          <w:color w:val="2F5496" w:themeColor="accent1" w:themeShade="BF"/>
          <w:szCs w:val="28"/>
        </w:rPr>
        <w:t>3) Riesgo de Liquidez</w:t>
      </w:r>
      <w:r>
        <w:rPr>
          <w:rFonts w:ascii="FS Elliot Pro" w:hAnsi="FS Elliot Pro"/>
          <w:b/>
          <w:color w:val="2F5496" w:themeColor="accent1" w:themeShade="BF"/>
          <w:szCs w:val="28"/>
        </w:rPr>
        <w:t>:</w:t>
      </w:r>
    </w:p>
    <w:p w14:paraId="3C16C429" w14:textId="77777777" w:rsidR="007A2AC6" w:rsidRPr="007A2AC6" w:rsidRDefault="007A2AC6" w:rsidP="007A2AC6">
      <w:pPr>
        <w:jc w:val="both"/>
        <w:rPr>
          <w:rFonts w:ascii="FS Elliot Pro" w:hAnsi="FS Elliot Pro"/>
          <w:szCs w:val="28"/>
        </w:rPr>
      </w:pPr>
      <w:r w:rsidRPr="007A2AC6">
        <w:rPr>
          <w:rFonts w:ascii="FS Elliot Pro" w:hAnsi="FS Elliot Pro"/>
          <w:szCs w:val="28"/>
        </w:rPr>
        <w:t xml:space="preserve">El riesgo de pérdidas derivadas de condiciones de venta forzosa de activos o condiciones de financiamiento desfavorables, para obtener los fondos necesarios para cubrir las obligaciones de la compañía. </w:t>
      </w:r>
    </w:p>
    <w:p w14:paraId="50701A88" w14:textId="1B6F01B9" w:rsidR="007A2AC6" w:rsidRPr="007A2AC6" w:rsidRDefault="007A2AC6" w:rsidP="007A2AC6">
      <w:pPr>
        <w:jc w:val="both"/>
        <w:rPr>
          <w:rFonts w:ascii="FS Elliot Pro" w:hAnsi="FS Elliot Pro"/>
          <w:szCs w:val="28"/>
        </w:rPr>
      </w:pPr>
      <w:r w:rsidRPr="007A2AC6">
        <w:rPr>
          <w:rFonts w:ascii="FS Elliot Pro" w:hAnsi="FS Elliot Pro"/>
          <w:szCs w:val="28"/>
        </w:rPr>
        <w:t>Las rentas vitalicias previsionales y privadas son irrevocables</w:t>
      </w:r>
      <w:r w:rsidR="00FB5B52">
        <w:rPr>
          <w:rFonts w:ascii="FS Elliot Pro" w:hAnsi="FS Elliot Pro"/>
          <w:szCs w:val="28"/>
        </w:rPr>
        <w:t xml:space="preserve"> de forma que</w:t>
      </w:r>
      <w:r w:rsidRPr="007A2AC6">
        <w:rPr>
          <w:rFonts w:ascii="FS Elliot Pro" w:hAnsi="FS Elliot Pro"/>
          <w:szCs w:val="28"/>
        </w:rPr>
        <w:t xml:space="preserve">, los flujos de caja son </w:t>
      </w:r>
      <w:r w:rsidR="00FB5B52">
        <w:rPr>
          <w:rFonts w:ascii="FS Elliot Pro" w:hAnsi="FS Elliot Pro"/>
          <w:szCs w:val="28"/>
        </w:rPr>
        <w:t xml:space="preserve">esencialmente </w:t>
      </w:r>
      <w:r w:rsidRPr="007A2AC6">
        <w:rPr>
          <w:rFonts w:ascii="FS Elliot Pro" w:hAnsi="FS Elliot Pro"/>
          <w:szCs w:val="28"/>
        </w:rPr>
        <w:t>estables y predecibles.</w:t>
      </w:r>
    </w:p>
    <w:p w14:paraId="77B6B1BD" w14:textId="77777777" w:rsidR="007A2AC6" w:rsidRDefault="007A2AC6" w:rsidP="007A2AC6">
      <w:pPr>
        <w:jc w:val="both"/>
        <w:rPr>
          <w:rFonts w:ascii="FS Elliot Pro" w:hAnsi="FS Elliot Pro"/>
          <w:szCs w:val="28"/>
        </w:rPr>
      </w:pPr>
      <w:r w:rsidRPr="007A2AC6">
        <w:rPr>
          <w:rFonts w:ascii="FS Elliot Pro" w:hAnsi="FS Elliot Pro"/>
          <w:szCs w:val="28"/>
        </w:rPr>
        <w:t>Para limitar el riesgo de liquidez, la sección “límites de liquidez” de la presente política establece límites mínimos de mantención de activos de alta calidad.</w:t>
      </w:r>
    </w:p>
    <w:p w14:paraId="36CD93CD" w14:textId="77777777" w:rsidR="007A2AC6" w:rsidRPr="007A2AC6" w:rsidRDefault="007A2AC6" w:rsidP="007A2AC6">
      <w:pPr>
        <w:jc w:val="both"/>
        <w:rPr>
          <w:rFonts w:ascii="FS Elliot Pro" w:hAnsi="FS Elliot Pro"/>
          <w:szCs w:val="28"/>
        </w:rPr>
      </w:pPr>
    </w:p>
    <w:p w14:paraId="07ABE7EF" w14:textId="77777777" w:rsidR="007A2AC6" w:rsidRDefault="007A2AC6" w:rsidP="007A2AC6">
      <w:pPr>
        <w:pStyle w:val="Prrafodelista"/>
        <w:numPr>
          <w:ilvl w:val="0"/>
          <w:numId w:val="4"/>
        </w:numPr>
        <w:jc w:val="both"/>
        <w:rPr>
          <w:rFonts w:ascii="FS Elliot Pro" w:hAnsi="FS Elliot Pro"/>
          <w:b/>
          <w:color w:val="2F5496" w:themeColor="accent1" w:themeShade="BF"/>
          <w:szCs w:val="28"/>
        </w:rPr>
      </w:pPr>
      <w:r>
        <w:rPr>
          <w:rFonts w:ascii="FS Elliot Pro" w:hAnsi="FS Elliot Pro"/>
          <w:b/>
          <w:color w:val="2F5496" w:themeColor="accent1" w:themeShade="BF"/>
          <w:szCs w:val="28"/>
        </w:rPr>
        <w:t>Límites por tipo de activo</w:t>
      </w:r>
    </w:p>
    <w:p w14:paraId="68ED61BC" w14:textId="664EDEDA" w:rsidR="00654CEB" w:rsidRDefault="00654CEB" w:rsidP="00654CEB">
      <w:pPr>
        <w:jc w:val="both"/>
        <w:rPr>
          <w:rFonts w:ascii="FS Elliot Pro" w:hAnsi="FS Elliot Pro"/>
          <w:szCs w:val="28"/>
        </w:rPr>
      </w:pPr>
      <w:r w:rsidRPr="00654CEB">
        <w:rPr>
          <w:rFonts w:ascii="FS Elliot Pro" w:hAnsi="FS Elliot Pro"/>
          <w:szCs w:val="28"/>
        </w:rPr>
        <w:t xml:space="preserve">El límite para cada tipo de activo que deberá ser usado en la actividad de inversiones será el menor entre el límite regulatorio y el que se describe a continuación en esta </w:t>
      </w:r>
      <w:r w:rsidR="008C09D9">
        <w:rPr>
          <w:rFonts w:ascii="FS Elliot Pro" w:hAnsi="FS Elliot Pro"/>
          <w:szCs w:val="28"/>
        </w:rPr>
        <w:t>P</w:t>
      </w:r>
      <w:r w:rsidRPr="00654CEB">
        <w:rPr>
          <w:rFonts w:ascii="FS Elliot Pro" w:hAnsi="FS Elliot Pro"/>
          <w:szCs w:val="28"/>
        </w:rPr>
        <w:t xml:space="preserve">olítica de </w:t>
      </w:r>
      <w:r w:rsidR="001A0140">
        <w:rPr>
          <w:rFonts w:ascii="FS Elliot Pro" w:hAnsi="FS Elliot Pro"/>
          <w:szCs w:val="28"/>
        </w:rPr>
        <w:t>I</w:t>
      </w:r>
      <w:r w:rsidRPr="00654CEB">
        <w:rPr>
          <w:rFonts w:ascii="FS Elliot Pro" w:hAnsi="FS Elliot Pro"/>
          <w:szCs w:val="28"/>
        </w:rPr>
        <w:t xml:space="preserve">nversiones. El límite regulatorio será aquel instruido por la Comisión para el Mercado Financiero (CMF) de acuerdo al D.F.L.251. </w:t>
      </w:r>
    </w:p>
    <w:tbl>
      <w:tblPr>
        <w:tblW w:w="8926" w:type="dxa"/>
        <w:tblCellMar>
          <w:left w:w="70" w:type="dxa"/>
          <w:right w:w="70" w:type="dxa"/>
        </w:tblCellMar>
        <w:tblLook w:val="04A0" w:firstRow="1" w:lastRow="0" w:firstColumn="1" w:lastColumn="0" w:noHBand="0" w:noVBand="1"/>
      </w:tblPr>
      <w:tblGrid>
        <w:gridCol w:w="562"/>
        <w:gridCol w:w="7088"/>
        <w:gridCol w:w="1276"/>
      </w:tblGrid>
      <w:tr w:rsidR="008074B6" w:rsidRPr="008074B6" w14:paraId="68C162A0" w14:textId="77777777" w:rsidTr="003940D8">
        <w:trPr>
          <w:trHeight w:val="254"/>
        </w:trPr>
        <w:tc>
          <w:tcPr>
            <w:tcW w:w="76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0B54ED" w14:textId="618FE554" w:rsidR="008074B6" w:rsidRPr="008074B6" w:rsidRDefault="008074B6">
            <w:pPr>
              <w:spacing w:after="0" w:line="240" w:lineRule="auto"/>
              <w:rPr>
                <w:rFonts w:ascii="Calibri" w:eastAsia="Times New Roman" w:hAnsi="Calibri" w:cs="Calibri"/>
                <w:color w:val="000000"/>
                <w:lang w:eastAsia="es-CL"/>
              </w:rPr>
            </w:pPr>
            <w:r w:rsidRPr="00216BF5">
              <w:rPr>
                <w:rFonts w:ascii="FS Elliot Pro" w:eastAsia="Times New Roman" w:hAnsi="FS Elliot Pro" w:cs="Calibri"/>
                <w:b/>
                <w:bCs/>
                <w:color w:val="000000"/>
                <w:highlight w:val="green"/>
                <w:lang w:eastAsia="es-CL"/>
              </w:rPr>
              <w:t>Renta Fija Local</w:t>
            </w:r>
            <w:r w:rsidR="004336B8" w:rsidRPr="00216BF5">
              <w:rPr>
                <w:rStyle w:val="Refdenotaalpie"/>
                <w:rFonts w:ascii="FS Elliot Pro" w:eastAsia="Times New Roman" w:hAnsi="FS Elliot Pro" w:cs="Calibri"/>
                <w:color w:val="000000"/>
                <w:sz w:val="16"/>
                <w:szCs w:val="16"/>
                <w:highlight w:val="green"/>
                <w:lang w:eastAsia="es-CL"/>
              </w:rPr>
              <w:footnoteReference w:id="1"/>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C5E3CF" w14:textId="77777777" w:rsidR="008074B6" w:rsidRPr="008074B6" w:rsidRDefault="008074B6" w:rsidP="003940D8">
            <w:pPr>
              <w:spacing w:after="0" w:line="240" w:lineRule="auto"/>
              <w:jc w:val="center"/>
              <w:rPr>
                <w:rFonts w:ascii="Calibri" w:eastAsia="Times New Roman" w:hAnsi="Calibri" w:cs="Calibri"/>
                <w:b/>
                <w:bCs/>
                <w:color w:val="000000"/>
                <w:lang w:eastAsia="es-CL"/>
              </w:rPr>
            </w:pPr>
            <w:r w:rsidRPr="008074B6">
              <w:rPr>
                <w:rFonts w:ascii="Calibri" w:eastAsia="Times New Roman" w:hAnsi="Calibri" w:cs="Calibri"/>
                <w:b/>
                <w:bCs/>
                <w:color w:val="000000"/>
                <w:lang w:eastAsia="es-CL"/>
              </w:rPr>
              <w:t>100%</w:t>
            </w:r>
          </w:p>
        </w:tc>
      </w:tr>
      <w:tr w:rsidR="008074B6" w:rsidRPr="008074B6" w14:paraId="797E5BDB" w14:textId="77777777" w:rsidTr="003940D8">
        <w:trPr>
          <w:trHeight w:val="290"/>
        </w:trPr>
        <w:tc>
          <w:tcPr>
            <w:tcW w:w="7650" w:type="dxa"/>
            <w:gridSpan w:val="2"/>
            <w:tcBorders>
              <w:top w:val="nil"/>
              <w:left w:val="single" w:sz="4" w:space="0" w:color="auto"/>
              <w:bottom w:val="nil"/>
              <w:right w:val="nil"/>
            </w:tcBorders>
            <w:shd w:val="clear" w:color="auto" w:fill="auto"/>
            <w:noWrap/>
            <w:vAlign w:val="bottom"/>
            <w:hideMark/>
          </w:tcPr>
          <w:p w14:paraId="5DF17994" w14:textId="77777777" w:rsidR="008074B6" w:rsidRPr="00216BF5" w:rsidRDefault="008074B6" w:rsidP="008074B6">
            <w:pPr>
              <w:spacing w:after="0" w:line="240" w:lineRule="auto"/>
              <w:rPr>
                <w:rFonts w:ascii="FS Elliot Pro" w:eastAsia="Times New Roman" w:hAnsi="FS Elliot Pro" w:cs="Calibri"/>
                <w:b/>
                <w:bCs/>
                <w:color w:val="000000"/>
                <w:highlight w:val="green"/>
                <w:lang w:eastAsia="es-CL"/>
              </w:rPr>
            </w:pPr>
            <w:r w:rsidRPr="00216BF5">
              <w:rPr>
                <w:rFonts w:ascii="FS Elliot Pro" w:eastAsia="Times New Roman" w:hAnsi="FS Elliot Pro" w:cs="Calibri"/>
                <w:b/>
                <w:bCs/>
                <w:color w:val="000000"/>
                <w:highlight w:val="green"/>
                <w:lang w:eastAsia="es-CL"/>
              </w:rPr>
              <w:t>Renta Fija Internacional</w:t>
            </w:r>
          </w:p>
        </w:tc>
        <w:tc>
          <w:tcPr>
            <w:tcW w:w="1276" w:type="dxa"/>
            <w:tcBorders>
              <w:top w:val="nil"/>
              <w:left w:val="single" w:sz="4" w:space="0" w:color="auto"/>
              <w:bottom w:val="nil"/>
              <w:right w:val="single" w:sz="4" w:space="0" w:color="auto"/>
            </w:tcBorders>
            <w:shd w:val="clear" w:color="auto" w:fill="auto"/>
            <w:noWrap/>
            <w:vAlign w:val="bottom"/>
            <w:hideMark/>
          </w:tcPr>
          <w:p w14:paraId="13D1FA5C" w14:textId="2586A491" w:rsidR="008074B6" w:rsidRPr="008074B6" w:rsidRDefault="00BA0DA8" w:rsidP="003940D8">
            <w:pPr>
              <w:spacing w:after="0" w:line="240" w:lineRule="auto"/>
              <w:jc w:val="center"/>
              <w:rPr>
                <w:rFonts w:ascii="FS Elliot Pro" w:eastAsia="Times New Roman" w:hAnsi="FS Elliot Pro" w:cs="Calibri"/>
                <w:b/>
                <w:bCs/>
                <w:color w:val="000000"/>
                <w:lang w:eastAsia="es-CL"/>
              </w:rPr>
            </w:pPr>
            <w:r>
              <w:rPr>
                <w:rFonts w:ascii="FS Elliot Pro" w:eastAsia="Times New Roman" w:hAnsi="FS Elliot Pro" w:cs="Calibri"/>
                <w:b/>
                <w:bCs/>
                <w:color w:val="000000"/>
                <w:lang w:eastAsia="es-CL"/>
              </w:rPr>
              <w:t>2</w:t>
            </w:r>
            <w:r w:rsidR="008074B6" w:rsidRPr="008074B6">
              <w:rPr>
                <w:rFonts w:ascii="FS Elliot Pro" w:eastAsia="Times New Roman" w:hAnsi="FS Elliot Pro" w:cs="Calibri"/>
                <w:b/>
                <w:bCs/>
                <w:color w:val="000000"/>
                <w:lang w:eastAsia="es-CL"/>
              </w:rPr>
              <w:t>0%</w:t>
            </w:r>
          </w:p>
        </w:tc>
      </w:tr>
      <w:tr w:rsidR="008074B6" w:rsidRPr="008074B6" w14:paraId="6D6F891D" w14:textId="77777777" w:rsidTr="003940D8">
        <w:trPr>
          <w:trHeight w:val="290"/>
        </w:trPr>
        <w:tc>
          <w:tcPr>
            <w:tcW w:w="7650" w:type="dxa"/>
            <w:gridSpan w:val="2"/>
            <w:tcBorders>
              <w:top w:val="single" w:sz="4" w:space="0" w:color="auto"/>
              <w:left w:val="single" w:sz="4" w:space="0" w:color="auto"/>
              <w:bottom w:val="nil"/>
              <w:right w:val="nil"/>
            </w:tcBorders>
            <w:shd w:val="clear" w:color="auto" w:fill="auto"/>
            <w:noWrap/>
            <w:vAlign w:val="bottom"/>
            <w:hideMark/>
          </w:tcPr>
          <w:p w14:paraId="7F96E8D9" w14:textId="77777777" w:rsidR="008074B6" w:rsidRPr="008074B6" w:rsidRDefault="008074B6" w:rsidP="008074B6">
            <w:pPr>
              <w:spacing w:after="0" w:line="240" w:lineRule="auto"/>
              <w:rPr>
                <w:rFonts w:ascii="FS Elliot Pro" w:eastAsia="Times New Roman" w:hAnsi="FS Elliot Pro" w:cs="Calibri"/>
                <w:b/>
                <w:bCs/>
                <w:color w:val="000000"/>
                <w:lang w:eastAsia="es-CL"/>
              </w:rPr>
            </w:pPr>
            <w:r w:rsidRPr="008074B6">
              <w:rPr>
                <w:rFonts w:ascii="FS Elliot Pro" w:eastAsia="Times New Roman" w:hAnsi="FS Elliot Pro" w:cs="Calibri"/>
                <w:b/>
                <w:bCs/>
                <w:color w:val="000000"/>
                <w:lang w:eastAsia="es-CL"/>
              </w:rPr>
              <w:t>Financiamiento Inmobiliario</w:t>
            </w:r>
          </w:p>
        </w:tc>
        <w:tc>
          <w:tcPr>
            <w:tcW w:w="1276" w:type="dxa"/>
            <w:tcBorders>
              <w:top w:val="single" w:sz="4" w:space="0" w:color="auto"/>
              <w:left w:val="single" w:sz="4" w:space="0" w:color="auto"/>
              <w:bottom w:val="nil"/>
              <w:right w:val="single" w:sz="4" w:space="0" w:color="auto"/>
            </w:tcBorders>
            <w:shd w:val="clear" w:color="auto" w:fill="auto"/>
            <w:noWrap/>
            <w:vAlign w:val="bottom"/>
            <w:hideMark/>
          </w:tcPr>
          <w:p w14:paraId="5B6FDC9E" w14:textId="18927CBD" w:rsidR="008074B6" w:rsidRPr="008074B6" w:rsidRDefault="008074B6" w:rsidP="003940D8">
            <w:pPr>
              <w:spacing w:after="0" w:line="240" w:lineRule="auto"/>
              <w:jc w:val="center"/>
              <w:rPr>
                <w:rFonts w:ascii="FS Elliot Pro" w:eastAsia="Times New Roman" w:hAnsi="FS Elliot Pro" w:cs="Calibri"/>
                <w:b/>
                <w:bCs/>
                <w:color w:val="000000"/>
                <w:lang w:eastAsia="es-CL"/>
              </w:rPr>
            </w:pPr>
          </w:p>
        </w:tc>
      </w:tr>
      <w:tr w:rsidR="00074D41" w:rsidRPr="008074B6" w14:paraId="79D449F8" w14:textId="77777777" w:rsidTr="003940D8">
        <w:trPr>
          <w:trHeight w:val="290"/>
        </w:trPr>
        <w:tc>
          <w:tcPr>
            <w:tcW w:w="562" w:type="dxa"/>
            <w:tcBorders>
              <w:top w:val="nil"/>
              <w:left w:val="single" w:sz="4" w:space="0" w:color="auto"/>
              <w:bottom w:val="nil"/>
              <w:right w:val="nil"/>
            </w:tcBorders>
            <w:shd w:val="clear" w:color="auto" w:fill="auto"/>
            <w:noWrap/>
            <w:vAlign w:val="bottom"/>
            <w:hideMark/>
          </w:tcPr>
          <w:p w14:paraId="6AEC1711" w14:textId="77777777" w:rsidR="008074B6" w:rsidRPr="00216BF5" w:rsidRDefault="008074B6" w:rsidP="008074B6">
            <w:pPr>
              <w:spacing w:after="0" w:line="240" w:lineRule="auto"/>
              <w:rPr>
                <w:rFonts w:ascii="FS Elliot Pro" w:eastAsia="Times New Roman" w:hAnsi="FS Elliot Pro" w:cs="Calibri"/>
                <w:color w:val="000000"/>
                <w:highlight w:val="green"/>
                <w:lang w:eastAsia="es-CL"/>
              </w:rPr>
            </w:pPr>
            <w:r w:rsidRPr="00216BF5">
              <w:rPr>
                <w:rFonts w:ascii="FS Elliot Pro" w:eastAsia="Times New Roman" w:hAnsi="FS Elliot Pro" w:cs="Calibri"/>
                <w:color w:val="000000"/>
                <w:highlight w:val="green"/>
                <w:lang w:eastAsia="es-CL"/>
              </w:rPr>
              <w:t> </w:t>
            </w:r>
          </w:p>
        </w:tc>
        <w:tc>
          <w:tcPr>
            <w:tcW w:w="7088" w:type="dxa"/>
            <w:tcBorders>
              <w:top w:val="nil"/>
              <w:left w:val="nil"/>
              <w:bottom w:val="nil"/>
              <w:right w:val="nil"/>
            </w:tcBorders>
            <w:shd w:val="clear" w:color="auto" w:fill="auto"/>
            <w:noWrap/>
            <w:vAlign w:val="bottom"/>
            <w:hideMark/>
          </w:tcPr>
          <w:p w14:paraId="7E3DD8FD" w14:textId="77777777" w:rsidR="008074B6" w:rsidRPr="00216BF5" w:rsidRDefault="008074B6" w:rsidP="008074B6">
            <w:pPr>
              <w:spacing w:after="0" w:line="240" w:lineRule="auto"/>
              <w:rPr>
                <w:rFonts w:ascii="FS Elliot Pro" w:eastAsia="Times New Roman" w:hAnsi="FS Elliot Pro" w:cs="Calibri"/>
                <w:color w:val="000000"/>
                <w:highlight w:val="green"/>
                <w:lang w:eastAsia="es-CL"/>
              </w:rPr>
            </w:pPr>
            <w:r w:rsidRPr="00216BF5">
              <w:rPr>
                <w:rFonts w:ascii="FS Elliot Pro" w:eastAsia="Times New Roman" w:hAnsi="FS Elliot Pro" w:cs="Calibri"/>
                <w:color w:val="000000"/>
                <w:highlight w:val="green"/>
                <w:lang w:eastAsia="es-CL"/>
              </w:rPr>
              <w:t>Mutuos Hipotecarios</w:t>
            </w:r>
          </w:p>
        </w:tc>
        <w:tc>
          <w:tcPr>
            <w:tcW w:w="1276" w:type="dxa"/>
            <w:tcBorders>
              <w:top w:val="nil"/>
              <w:left w:val="single" w:sz="4" w:space="0" w:color="auto"/>
              <w:bottom w:val="nil"/>
              <w:right w:val="single" w:sz="4" w:space="0" w:color="auto"/>
            </w:tcBorders>
            <w:shd w:val="clear" w:color="auto" w:fill="auto"/>
            <w:noWrap/>
            <w:vAlign w:val="bottom"/>
            <w:hideMark/>
          </w:tcPr>
          <w:p w14:paraId="25BA5ED1" w14:textId="77777777" w:rsidR="008074B6" w:rsidRPr="008074B6" w:rsidRDefault="008074B6" w:rsidP="003940D8">
            <w:pPr>
              <w:spacing w:after="0" w:line="240" w:lineRule="auto"/>
              <w:jc w:val="center"/>
              <w:rPr>
                <w:rFonts w:ascii="FS Elliot Pro" w:eastAsia="Times New Roman" w:hAnsi="FS Elliot Pro" w:cs="Calibri"/>
                <w:color w:val="000000"/>
                <w:lang w:eastAsia="es-CL"/>
              </w:rPr>
            </w:pPr>
            <w:r w:rsidRPr="008074B6">
              <w:rPr>
                <w:rFonts w:ascii="FS Elliot Pro" w:eastAsia="Times New Roman" w:hAnsi="FS Elliot Pro" w:cs="Calibri"/>
                <w:color w:val="000000"/>
                <w:lang w:eastAsia="es-CL"/>
              </w:rPr>
              <w:t>30%</w:t>
            </w:r>
          </w:p>
        </w:tc>
      </w:tr>
      <w:tr w:rsidR="00074D41" w:rsidRPr="008074B6" w14:paraId="2946411F" w14:textId="77777777" w:rsidTr="003940D8">
        <w:trPr>
          <w:trHeight w:val="290"/>
        </w:trPr>
        <w:tc>
          <w:tcPr>
            <w:tcW w:w="562" w:type="dxa"/>
            <w:tcBorders>
              <w:top w:val="nil"/>
              <w:left w:val="single" w:sz="4" w:space="0" w:color="auto"/>
              <w:bottom w:val="single" w:sz="4" w:space="0" w:color="auto"/>
              <w:right w:val="nil"/>
            </w:tcBorders>
            <w:shd w:val="clear" w:color="auto" w:fill="auto"/>
            <w:noWrap/>
            <w:vAlign w:val="bottom"/>
            <w:hideMark/>
          </w:tcPr>
          <w:p w14:paraId="6026AB53" w14:textId="77777777" w:rsidR="008074B6" w:rsidRPr="00216BF5" w:rsidRDefault="008074B6" w:rsidP="008074B6">
            <w:pPr>
              <w:spacing w:after="0" w:line="240" w:lineRule="auto"/>
              <w:rPr>
                <w:rFonts w:ascii="FS Elliot Pro" w:eastAsia="Times New Roman" w:hAnsi="FS Elliot Pro" w:cs="Calibri"/>
                <w:color w:val="000000"/>
                <w:highlight w:val="green"/>
                <w:lang w:eastAsia="es-CL"/>
              </w:rPr>
            </w:pPr>
            <w:r w:rsidRPr="00216BF5">
              <w:rPr>
                <w:rFonts w:ascii="FS Elliot Pro" w:eastAsia="Times New Roman" w:hAnsi="FS Elliot Pro" w:cs="Calibri"/>
                <w:color w:val="000000"/>
                <w:highlight w:val="green"/>
                <w:lang w:eastAsia="es-CL"/>
              </w:rPr>
              <w:t> </w:t>
            </w:r>
          </w:p>
        </w:tc>
        <w:tc>
          <w:tcPr>
            <w:tcW w:w="7088" w:type="dxa"/>
            <w:tcBorders>
              <w:top w:val="nil"/>
              <w:left w:val="nil"/>
              <w:bottom w:val="single" w:sz="4" w:space="0" w:color="auto"/>
              <w:right w:val="nil"/>
            </w:tcBorders>
            <w:shd w:val="clear" w:color="auto" w:fill="auto"/>
            <w:noWrap/>
            <w:vAlign w:val="bottom"/>
            <w:hideMark/>
          </w:tcPr>
          <w:p w14:paraId="46876F49" w14:textId="77777777" w:rsidR="008074B6" w:rsidRPr="00216BF5" w:rsidRDefault="008074B6" w:rsidP="008074B6">
            <w:pPr>
              <w:spacing w:after="0" w:line="240" w:lineRule="auto"/>
              <w:rPr>
                <w:rFonts w:ascii="FS Elliot Pro" w:eastAsia="Times New Roman" w:hAnsi="FS Elliot Pro" w:cs="Calibri"/>
                <w:color w:val="000000"/>
                <w:highlight w:val="green"/>
                <w:lang w:eastAsia="es-CL"/>
              </w:rPr>
            </w:pPr>
            <w:r w:rsidRPr="00216BF5">
              <w:rPr>
                <w:rFonts w:ascii="FS Elliot Pro" w:eastAsia="Times New Roman" w:hAnsi="FS Elliot Pro" w:cs="Calibri"/>
                <w:color w:val="000000"/>
                <w:highlight w:val="green"/>
                <w:lang w:eastAsia="es-CL"/>
              </w:rPr>
              <w:t>Leasings</w:t>
            </w: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54C51F15" w14:textId="77777777" w:rsidR="008074B6" w:rsidRPr="008074B6" w:rsidRDefault="008074B6" w:rsidP="003940D8">
            <w:pPr>
              <w:spacing w:after="0" w:line="240" w:lineRule="auto"/>
              <w:jc w:val="center"/>
              <w:rPr>
                <w:rFonts w:ascii="FS Elliot Pro" w:eastAsia="Times New Roman" w:hAnsi="FS Elliot Pro" w:cs="Calibri"/>
                <w:color w:val="000000"/>
                <w:lang w:eastAsia="es-CL"/>
              </w:rPr>
            </w:pPr>
            <w:r w:rsidRPr="008074B6">
              <w:rPr>
                <w:rFonts w:ascii="FS Elliot Pro" w:eastAsia="Times New Roman" w:hAnsi="FS Elliot Pro" w:cs="Calibri"/>
                <w:color w:val="000000"/>
                <w:lang w:eastAsia="es-CL"/>
              </w:rPr>
              <w:t>25%</w:t>
            </w:r>
          </w:p>
        </w:tc>
      </w:tr>
      <w:tr w:rsidR="008074B6" w:rsidRPr="008074B6" w14:paraId="3604A44C" w14:textId="77777777" w:rsidTr="003940D8">
        <w:trPr>
          <w:trHeight w:val="290"/>
        </w:trPr>
        <w:tc>
          <w:tcPr>
            <w:tcW w:w="7650" w:type="dxa"/>
            <w:gridSpan w:val="2"/>
            <w:tcBorders>
              <w:top w:val="single" w:sz="4" w:space="0" w:color="auto"/>
              <w:left w:val="single" w:sz="4" w:space="0" w:color="auto"/>
              <w:bottom w:val="nil"/>
              <w:right w:val="nil"/>
            </w:tcBorders>
            <w:shd w:val="clear" w:color="auto" w:fill="auto"/>
            <w:noWrap/>
            <w:vAlign w:val="bottom"/>
            <w:hideMark/>
          </w:tcPr>
          <w:p w14:paraId="073D0999" w14:textId="685DB642" w:rsidR="008074B6" w:rsidRPr="008074B6" w:rsidRDefault="008074B6" w:rsidP="008074B6">
            <w:pPr>
              <w:spacing w:after="0" w:line="240" w:lineRule="auto"/>
              <w:rPr>
                <w:rFonts w:ascii="FS Elliot Pro" w:eastAsia="Times New Roman" w:hAnsi="FS Elliot Pro" w:cs="Calibri"/>
                <w:b/>
                <w:bCs/>
                <w:color w:val="000000"/>
                <w:lang w:eastAsia="es-CL"/>
              </w:rPr>
            </w:pPr>
            <w:r w:rsidRPr="008074B6">
              <w:rPr>
                <w:rFonts w:ascii="FS Elliot Pro" w:eastAsia="Times New Roman" w:hAnsi="FS Elliot Pro" w:cs="Calibri"/>
                <w:b/>
                <w:bCs/>
                <w:color w:val="000000"/>
                <w:lang w:eastAsia="es-CL"/>
              </w:rPr>
              <w:t>Inversiones Alternativas</w:t>
            </w:r>
            <w:r w:rsidR="004336B8">
              <w:rPr>
                <w:rStyle w:val="Refdenotaalpie"/>
                <w:rFonts w:ascii="FS Elliot Pro" w:eastAsia="Times New Roman" w:hAnsi="FS Elliot Pro" w:cs="Calibri"/>
                <w:color w:val="000000"/>
                <w:sz w:val="16"/>
                <w:szCs w:val="16"/>
                <w:lang w:eastAsia="es-CL"/>
              </w:rPr>
              <w:footnoteReference w:id="2"/>
            </w:r>
          </w:p>
        </w:tc>
        <w:tc>
          <w:tcPr>
            <w:tcW w:w="1276" w:type="dxa"/>
            <w:tcBorders>
              <w:top w:val="nil"/>
              <w:left w:val="single" w:sz="4" w:space="0" w:color="auto"/>
              <w:bottom w:val="nil"/>
              <w:right w:val="single" w:sz="4" w:space="0" w:color="auto"/>
            </w:tcBorders>
            <w:shd w:val="clear" w:color="auto" w:fill="auto"/>
            <w:noWrap/>
            <w:vAlign w:val="bottom"/>
            <w:hideMark/>
          </w:tcPr>
          <w:p w14:paraId="4BA5E30F" w14:textId="77777777" w:rsidR="008074B6" w:rsidRPr="008074B6" w:rsidRDefault="008074B6" w:rsidP="003940D8">
            <w:pPr>
              <w:spacing w:after="0" w:line="240" w:lineRule="auto"/>
              <w:jc w:val="center"/>
              <w:rPr>
                <w:rFonts w:ascii="FS Elliot Pro" w:eastAsia="Times New Roman" w:hAnsi="FS Elliot Pro" w:cs="Calibri"/>
                <w:b/>
                <w:bCs/>
                <w:color w:val="000000"/>
                <w:lang w:eastAsia="es-CL"/>
              </w:rPr>
            </w:pPr>
            <w:r w:rsidRPr="008074B6">
              <w:rPr>
                <w:rFonts w:ascii="FS Elliot Pro" w:eastAsia="Times New Roman" w:hAnsi="FS Elliot Pro" w:cs="Calibri"/>
                <w:b/>
                <w:bCs/>
                <w:color w:val="000000"/>
                <w:lang w:eastAsia="es-CL"/>
              </w:rPr>
              <w:t>8%</w:t>
            </w:r>
          </w:p>
        </w:tc>
      </w:tr>
      <w:tr w:rsidR="00074D41" w:rsidRPr="008074B6" w14:paraId="181C80A3" w14:textId="77777777" w:rsidTr="003940D8">
        <w:trPr>
          <w:trHeight w:val="290"/>
        </w:trPr>
        <w:tc>
          <w:tcPr>
            <w:tcW w:w="562" w:type="dxa"/>
            <w:tcBorders>
              <w:top w:val="nil"/>
              <w:left w:val="single" w:sz="4" w:space="0" w:color="auto"/>
              <w:bottom w:val="nil"/>
              <w:right w:val="nil"/>
            </w:tcBorders>
            <w:shd w:val="clear" w:color="auto" w:fill="auto"/>
            <w:noWrap/>
            <w:vAlign w:val="bottom"/>
            <w:hideMark/>
          </w:tcPr>
          <w:p w14:paraId="6B1FB606" w14:textId="77777777" w:rsidR="008074B6" w:rsidRPr="008074B6" w:rsidRDefault="008074B6" w:rsidP="008074B6">
            <w:pPr>
              <w:spacing w:after="0" w:line="240" w:lineRule="auto"/>
              <w:rPr>
                <w:rFonts w:ascii="FS Elliot Pro" w:eastAsia="Times New Roman" w:hAnsi="FS Elliot Pro" w:cs="Calibri"/>
                <w:color w:val="000000"/>
                <w:lang w:eastAsia="es-CL"/>
              </w:rPr>
            </w:pPr>
            <w:r w:rsidRPr="008074B6">
              <w:rPr>
                <w:rFonts w:ascii="FS Elliot Pro" w:eastAsia="Times New Roman" w:hAnsi="FS Elliot Pro" w:cs="Calibri"/>
                <w:color w:val="000000"/>
                <w:lang w:eastAsia="es-CL"/>
              </w:rPr>
              <w:t> </w:t>
            </w:r>
          </w:p>
        </w:tc>
        <w:tc>
          <w:tcPr>
            <w:tcW w:w="7088" w:type="dxa"/>
            <w:tcBorders>
              <w:top w:val="nil"/>
              <w:left w:val="nil"/>
              <w:bottom w:val="nil"/>
              <w:right w:val="nil"/>
            </w:tcBorders>
            <w:shd w:val="clear" w:color="auto" w:fill="auto"/>
            <w:noWrap/>
            <w:vAlign w:val="bottom"/>
            <w:hideMark/>
          </w:tcPr>
          <w:p w14:paraId="3A96E9C8" w14:textId="77777777" w:rsidR="008074B6" w:rsidRPr="00216BF5" w:rsidRDefault="008074B6" w:rsidP="008074B6">
            <w:pPr>
              <w:spacing w:after="0" w:line="240" w:lineRule="auto"/>
              <w:rPr>
                <w:rFonts w:ascii="FS Elliot Pro" w:eastAsia="Times New Roman" w:hAnsi="FS Elliot Pro" w:cs="Calibri"/>
                <w:color w:val="000000"/>
                <w:highlight w:val="green"/>
                <w:lang w:eastAsia="es-CL"/>
              </w:rPr>
            </w:pPr>
            <w:r w:rsidRPr="00216BF5">
              <w:rPr>
                <w:rFonts w:ascii="FS Elliot Pro" w:eastAsia="Times New Roman" w:hAnsi="FS Elliot Pro" w:cs="Calibri"/>
                <w:color w:val="000000"/>
                <w:highlight w:val="green"/>
                <w:lang w:eastAsia="es-CL"/>
              </w:rPr>
              <w:t xml:space="preserve">Inversión Inmobiliaria Directa / Fondos de Inversión Inmobiliarios </w:t>
            </w:r>
            <w:r w:rsidRPr="00216BF5">
              <w:rPr>
                <w:rFonts w:ascii="FS Elliot Pro" w:eastAsia="Times New Roman" w:hAnsi="FS Elliot Pro" w:cs="Calibri"/>
                <w:i/>
                <w:iCs/>
                <w:color w:val="000000"/>
                <w:highlight w:val="green"/>
                <w:lang w:eastAsia="es-CL"/>
              </w:rPr>
              <w:t>Core</w:t>
            </w:r>
          </w:p>
        </w:tc>
        <w:tc>
          <w:tcPr>
            <w:tcW w:w="1276" w:type="dxa"/>
            <w:tcBorders>
              <w:top w:val="nil"/>
              <w:left w:val="single" w:sz="4" w:space="0" w:color="auto"/>
              <w:bottom w:val="nil"/>
              <w:right w:val="single" w:sz="4" w:space="0" w:color="auto"/>
            </w:tcBorders>
            <w:shd w:val="clear" w:color="auto" w:fill="auto"/>
            <w:noWrap/>
            <w:vAlign w:val="bottom"/>
            <w:hideMark/>
          </w:tcPr>
          <w:p w14:paraId="4A93832F" w14:textId="77777777" w:rsidR="008074B6" w:rsidRPr="008074B6" w:rsidRDefault="008074B6" w:rsidP="003940D8">
            <w:pPr>
              <w:spacing w:after="0" w:line="240" w:lineRule="auto"/>
              <w:jc w:val="center"/>
              <w:rPr>
                <w:rFonts w:ascii="FS Elliot Pro" w:eastAsia="Times New Roman" w:hAnsi="FS Elliot Pro" w:cs="Calibri"/>
                <w:color w:val="000000"/>
                <w:lang w:eastAsia="es-CL"/>
              </w:rPr>
            </w:pPr>
            <w:r w:rsidRPr="008074B6">
              <w:rPr>
                <w:rFonts w:ascii="FS Elliot Pro" w:eastAsia="Times New Roman" w:hAnsi="FS Elliot Pro" w:cs="Calibri"/>
                <w:color w:val="000000"/>
                <w:lang w:eastAsia="es-CL"/>
              </w:rPr>
              <w:t>8%</w:t>
            </w:r>
          </w:p>
        </w:tc>
      </w:tr>
      <w:tr w:rsidR="00074D41" w:rsidRPr="008074B6" w14:paraId="49459F0F" w14:textId="77777777" w:rsidTr="003940D8">
        <w:trPr>
          <w:trHeight w:val="290"/>
        </w:trPr>
        <w:tc>
          <w:tcPr>
            <w:tcW w:w="562" w:type="dxa"/>
            <w:tcBorders>
              <w:top w:val="nil"/>
              <w:left w:val="single" w:sz="4" w:space="0" w:color="auto"/>
              <w:bottom w:val="nil"/>
              <w:right w:val="nil"/>
            </w:tcBorders>
            <w:shd w:val="clear" w:color="auto" w:fill="auto"/>
            <w:noWrap/>
            <w:vAlign w:val="bottom"/>
            <w:hideMark/>
          </w:tcPr>
          <w:p w14:paraId="187FA989" w14:textId="77777777" w:rsidR="008074B6" w:rsidRPr="00216BF5" w:rsidRDefault="008074B6" w:rsidP="008074B6">
            <w:pPr>
              <w:spacing w:after="0" w:line="240" w:lineRule="auto"/>
              <w:rPr>
                <w:rFonts w:ascii="FS Elliot Pro" w:eastAsia="Times New Roman" w:hAnsi="FS Elliot Pro" w:cs="Calibri"/>
                <w:color w:val="000000"/>
                <w:highlight w:val="red"/>
                <w:lang w:eastAsia="es-CL"/>
              </w:rPr>
            </w:pPr>
            <w:r w:rsidRPr="00216BF5">
              <w:rPr>
                <w:rFonts w:ascii="FS Elliot Pro" w:eastAsia="Times New Roman" w:hAnsi="FS Elliot Pro" w:cs="Calibri"/>
                <w:color w:val="000000"/>
                <w:highlight w:val="red"/>
                <w:lang w:eastAsia="es-CL"/>
              </w:rPr>
              <w:t> </w:t>
            </w:r>
          </w:p>
        </w:tc>
        <w:tc>
          <w:tcPr>
            <w:tcW w:w="7088" w:type="dxa"/>
            <w:tcBorders>
              <w:top w:val="nil"/>
              <w:left w:val="nil"/>
              <w:bottom w:val="nil"/>
              <w:right w:val="nil"/>
            </w:tcBorders>
            <w:shd w:val="clear" w:color="auto" w:fill="auto"/>
            <w:noWrap/>
            <w:vAlign w:val="bottom"/>
            <w:hideMark/>
          </w:tcPr>
          <w:p w14:paraId="7497A8B6" w14:textId="77777777" w:rsidR="008074B6" w:rsidRPr="00216BF5" w:rsidRDefault="008074B6" w:rsidP="008074B6">
            <w:pPr>
              <w:spacing w:after="0" w:line="240" w:lineRule="auto"/>
              <w:rPr>
                <w:rFonts w:ascii="FS Elliot Pro" w:eastAsia="Times New Roman" w:hAnsi="FS Elliot Pro" w:cs="Calibri"/>
                <w:color w:val="000000"/>
                <w:highlight w:val="red"/>
                <w:lang w:eastAsia="es-CL"/>
              </w:rPr>
            </w:pPr>
            <w:r w:rsidRPr="00216BF5">
              <w:rPr>
                <w:rFonts w:ascii="FS Elliot Pro" w:eastAsia="Times New Roman" w:hAnsi="FS Elliot Pro" w:cs="Calibri"/>
                <w:color w:val="000000"/>
                <w:highlight w:val="red"/>
                <w:lang w:eastAsia="es-CL"/>
              </w:rPr>
              <w:t xml:space="preserve">Fondos de Infraestructura </w:t>
            </w:r>
            <w:r w:rsidRPr="00216BF5">
              <w:rPr>
                <w:rFonts w:ascii="FS Elliot Pro" w:eastAsia="Times New Roman" w:hAnsi="FS Elliot Pro" w:cs="Calibri"/>
                <w:i/>
                <w:iCs/>
                <w:color w:val="000000"/>
                <w:highlight w:val="red"/>
                <w:lang w:eastAsia="es-CL"/>
              </w:rPr>
              <w:t>Brownfield</w:t>
            </w:r>
          </w:p>
        </w:tc>
        <w:tc>
          <w:tcPr>
            <w:tcW w:w="1276" w:type="dxa"/>
            <w:tcBorders>
              <w:top w:val="nil"/>
              <w:left w:val="single" w:sz="4" w:space="0" w:color="auto"/>
              <w:bottom w:val="nil"/>
              <w:right w:val="single" w:sz="4" w:space="0" w:color="auto"/>
            </w:tcBorders>
            <w:shd w:val="clear" w:color="auto" w:fill="auto"/>
            <w:noWrap/>
            <w:vAlign w:val="bottom"/>
            <w:hideMark/>
          </w:tcPr>
          <w:p w14:paraId="793033F1" w14:textId="77777777" w:rsidR="008074B6" w:rsidRPr="008074B6" w:rsidRDefault="008074B6" w:rsidP="003940D8">
            <w:pPr>
              <w:spacing w:after="0" w:line="240" w:lineRule="auto"/>
              <w:jc w:val="center"/>
              <w:rPr>
                <w:rFonts w:ascii="FS Elliot Pro" w:eastAsia="Times New Roman" w:hAnsi="FS Elliot Pro" w:cs="Calibri"/>
                <w:color w:val="000000"/>
                <w:lang w:eastAsia="es-CL"/>
              </w:rPr>
            </w:pPr>
            <w:r w:rsidRPr="008074B6">
              <w:rPr>
                <w:rFonts w:ascii="FS Elliot Pro" w:eastAsia="Times New Roman" w:hAnsi="FS Elliot Pro" w:cs="Calibri"/>
                <w:color w:val="000000"/>
                <w:lang w:eastAsia="es-CL"/>
              </w:rPr>
              <w:t>3%</w:t>
            </w:r>
          </w:p>
        </w:tc>
      </w:tr>
      <w:tr w:rsidR="00074D41" w:rsidRPr="008074B6" w14:paraId="13A5D76D" w14:textId="77777777" w:rsidTr="003940D8">
        <w:trPr>
          <w:trHeight w:val="290"/>
        </w:trPr>
        <w:tc>
          <w:tcPr>
            <w:tcW w:w="562" w:type="dxa"/>
            <w:tcBorders>
              <w:top w:val="nil"/>
              <w:left w:val="single" w:sz="4" w:space="0" w:color="auto"/>
              <w:bottom w:val="nil"/>
              <w:right w:val="nil"/>
            </w:tcBorders>
            <w:shd w:val="clear" w:color="auto" w:fill="auto"/>
            <w:noWrap/>
            <w:vAlign w:val="bottom"/>
            <w:hideMark/>
          </w:tcPr>
          <w:p w14:paraId="0EF3DBB1" w14:textId="77777777" w:rsidR="008074B6" w:rsidRPr="00216BF5" w:rsidRDefault="008074B6" w:rsidP="008074B6">
            <w:pPr>
              <w:spacing w:after="0" w:line="240" w:lineRule="auto"/>
              <w:rPr>
                <w:rFonts w:ascii="FS Elliot Pro" w:eastAsia="Times New Roman" w:hAnsi="FS Elliot Pro" w:cs="Calibri"/>
                <w:color w:val="000000"/>
                <w:highlight w:val="red"/>
                <w:lang w:eastAsia="es-CL"/>
              </w:rPr>
            </w:pPr>
            <w:r w:rsidRPr="00216BF5">
              <w:rPr>
                <w:rFonts w:ascii="FS Elliot Pro" w:eastAsia="Times New Roman" w:hAnsi="FS Elliot Pro" w:cs="Calibri"/>
                <w:color w:val="000000"/>
                <w:highlight w:val="red"/>
                <w:lang w:eastAsia="es-CL"/>
              </w:rPr>
              <w:t> </w:t>
            </w:r>
          </w:p>
        </w:tc>
        <w:tc>
          <w:tcPr>
            <w:tcW w:w="7088" w:type="dxa"/>
            <w:tcBorders>
              <w:top w:val="nil"/>
              <w:left w:val="nil"/>
              <w:bottom w:val="nil"/>
              <w:right w:val="nil"/>
            </w:tcBorders>
            <w:shd w:val="clear" w:color="auto" w:fill="auto"/>
            <w:noWrap/>
            <w:vAlign w:val="bottom"/>
            <w:hideMark/>
          </w:tcPr>
          <w:p w14:paraId="3C3FD597" w14:textId="77777777" w:rsidR="008074B6" w:rsidRPr="00216BF5" w:rsidRDefault="008074B6" w:rsidP="008074B6">
            <w:pPr>
              <w:spacing w:after="0" w:line="240" w:lineRule="auto"/>
              <w:rPr>
                <w:rFonts w:ascii="FS Elliot Pro" w:eastAsia="Times New Roman" w:hAnsi="FS Elliot Pro" w:cs="Calibri"/>
                <w:color w:val="000000"/>
                <w:highlight w:val="red"/>
                <w:lang w:eastAsia="es-CL"/>
              </w:rPr>
            </w:pPr>
            <w:r w:rsidRPr="00216BF5">
              <w:rPr>
                <w:rFonts w:ascii="FS Elliot Pro" w:eastAsia="Times New Roman" w:hAnsi="FS Elliot Pro" w:cs="Calibri"/>
                <w:color w:val="000000"/>
                <w:highlight w:val="red"/>
                <w:lang w:eastAsia="es-CL"/>
              </w:rPr>
              <w:t xml:space="preserve">Inversión Inmobiliaria Directa / Fondos de Inversión Inmobiliarios </w:t>
            </w:r>
            <w:r w:rsidRPr="00216BF5">
              <w:rPr>
                <w:rFonts w:ascii="FS Elliot Pro" w:eastAsia="Times New Roman" w:hAnsi="FS Elliot Pro" w:cs="Calibri"/>
                <w:i/>
                <w:iCs/>
                <w:color w:val="000000"/>
                <w:highlight w:val="red"/>
                <w:lang w:eastAsia="es-CL"/>
              </w:rPr>
              <w:t>Non-Core</w:t>
            </w:r>
          </w:p>
        </w:tc>
        <w:tc>
          <w:tcPr>
            <w:tcW w:w="1276" w:type="dxa"/>
            <w:tcBorders>
              <w:top w:val="nil"/>
              <w:left w:val="single" w:sz="4" w:space="0" w:color="auto"/>
              <w:bottom w:val="nil"/>
              <w:right w:val="single" w:sz="4" w:space="0" w:color="auto"/>
            </w:tcBorders>
            <w:shd w:val="clear" w:color="auto" w:fill="auto"/>
            <w:noWrap/>
            <w:vAlign w:val="bottom"/>
            <w:hideMark/>
          </w:tcPr>
          <w:p w14:paraId="77F1D5D9" w14:textId="77777777" w:rsidR="008074B6" w:rsidRPr="008074B6" w:rsidRDefault="008074B6" w:rsidP="003940D8">
            <w:pPr>
              <w:spacing w:after="0" w:line="240" w:lineRule="auto"/>
              <w:jc w:val="center"/>
              <w:rPr>
                <w:rFonts w:ascii="FS Elliot Pro" w:eastAsia="Times New Roman" w:hAnsi="FS Elliot Pro" w:cs="Calibri"/>
                <w:color w:val="000000"/>
                <w:lang w:eastAsia="es-CL"/>
              </w:rPr>
            </w:pPr>
            <w:r w:rsidRPr="008074B6">
              <w:rPr>
                <w:rFonts w:ascii="FS Elliot Pro" w:eastAsia="Times New Roman" w:hAnsi="FS Elliot Pro" w:cs="Calibri"/>
                <w:color w:val="000000"/>
                <w:lang w:eastAsia="es-CL"/>
              </w:rPr>
              <w:t>3%</w:t>
            </w:r>
          </w:p>
        </w:tc>
      </w:tr>
      <w:tr w:rsidR="00074D41" w:rsidRPr="008074B6" w14:paraId="7B6EAE17" w14:textId="77777777" w:rsidTr="003940D8">
        <w:trPr>
          <w:trHeight w:val="290"/>
        </w:trPr>
        <w:tc>
          <w:tcPr>
            <w:tcW w:w="562" w:type="dxa"/>
            <w:tcBorders>
              <w:top w:val="nil"/>
              <w:left w:val="single" w:sz="4" w:space="0" w:color="auto"/>
              <w:bottom w:val="nil"/>
              <w:right w:val="nil"/>
            </w:tcBorders>
            <w:shd w:val="clear" w:color="auto" w:fill="auto"/>
            <w:noWrap/>
            <w:vAlign w:val="bottom"/>
            <w:hideMark/>
          </w:tcPr>
          <w:p w14:paraId="5C463229" w14:textId="77777777" w:rsidR="008074B6" w:rsidRPr="008074B6" w:rsidRDefault="008074B6" w:rsidP="008074B6">
            <w:pPr>
              <w:spacing w:after="0" w:line="240" w:lineRule="auto"/>
              <w:rPr>
                <w:rFonts w:ascii="FS Elliot Pro" w:eastAsia="Times New Roman" w:hAnsi="FS Elliot Pro" w:cs="Calibri"/>
                <w:color w:val="000000"/>
                <w:lang w:eastAsia="es-CL"/>
              </w:rPr>
            </w:pPr>
            <w:r w:rsidRPr="008074B6">
              <w:rPr>
                <w:rFonts w:ascii="FS Elliot Pro" w:eastAsia="Times New Roman" w:hAnsi="FS Elliot Pro" w:cs="Calibri"/>
                <w:color w:val="000000"/>
                <w:lang w:eastAsia="es-CL"/>
              </w:rPr>
              <w:t> </w:t>
            </w:r>
          </w:p>
        </w:tc>
        <w:tc>
          <w:tcPr>
            <w:tcW w:w="7088" w:type="dxa"/>
            <w:tcBorders>
              <w:top w:val="nil"/>
              <w:left w:val="nil"/>
              <w:bottom w:val="nil"/>
              <w:right w:val="nil"/>
            </w:tcBorders>
            <w:shd w:val="clear" w:color="auto" w:fill="auto"/>
            <w:noWrap/>
            <w:vAlign w:val="bottom"/>
            <w:hideMark/>
          </w:tcPr>
          <w:p w14:paraId="0BFF2644" w14:textId="77777777" w:rsidR="008074B6" w:rsidRPr="00216BF5" w:rsidRDefault="008074B6" w:rsidP="008074B6">
            <w:pPr>
              <w:spacing w:after="0" w:line="240" w:lineRule="auto"/>
              <w:rPr>
                <w:rFonts w:ascii="FS Elliot Pro" w:eastAsia="Times New Roman" w:hAnsi="FS Elliot Pro" w:cs="Calibri"/>
                <w:i/>
                <w:iCs/>
                <w:color w:val="000000"/>
                <w:highlight w:val="green"/>
                <w:lang w:eastAsia="es-CL"/>
              </w:rPr>
            </w:pPr>
            <w:r w:rsidRPr="00216BF5">
              <w:rPr>
                <w:rFonts w:ascii="FS Elliot Pro" w:eastAsia="Times New Roman" w:hAnsi="FS Elliot Pro" w:cs="Calibri"/>
                <w:i/>
                <w:iCs/>
                <w:color w:val="000000"/>
                <w:highlight w:val="green"/>
                <w:lang w:eastAsia="es-CL"/>
              </w:rPr>
              <w:t>Private Equity</w:t>
            </w:r>
          </w:p>
        </w:tc>
        <w:tc>
          <w:tcPr>
            <w:tcW w:w="1276" w:type="dxa"/>
            <w:tcBorders>
              <w:top w:val="nil"/>
              <w:left w:val="single" w:sz="4" w:space="0" w:color="auto"/>
              <w:bottom w:val="nil"/>
              <w:right w:val="single" w:sz="4" w:space="0" w:color="auto"/>
            </w:tcBorders>
            <w:shd w:val="clear" w:color="auto" w:fill="auto"/>
            <w:noWrap/>
            <w:vAlign w:val="bottom"/>
            <w:hideMark/>
          </w:tcPr>
          <w:p w14:paraId="566BAA3C" w14:textId="77777777" w:rsidR="008074B6" w:rsidRPr="008074B6" w:rsidRDefault="008074B6" w:rsidP="003940D8">
            <w:pPr>
              <w:spacing w:after="0" w:line="240" w:lineRule="auto"/>
              <w:jc w:val="center"/>
              <w:rPr>
                <w:rFonts w:ascii="FS Elliot Pro" w:eastAsia="Times New Roman" w:hAnsi="FS Elliot Pro" w:cs="Calibri"/>
                <w:color w:val="000000"/>
                <w:lang w:eastAsia="es-CL"/>
              </w:rPr>
            </w:pPr>
            <w:r w:rsidRPr="008074B6">
              <w:rPr>
                <w:rFonts w:ascii="FS Elliot Pro" w:eastAsia="Times New Roman" w:hAnsi="FS Elliot Pro" w:cs="Calibri"/>
                <w:color w:val="000000"/>
                <w:lang w:eastAsia="es-CL"/>
              </w:rPr>
              <w:t>3%</w:t>
            </w:r>
          </w:p>
        </w:tc>
      </w:tr>
      <w:tr w:rsidR="00074D41" w:rsidRPr="008074B6" w14:paraId="331C6766" w14:textId="77777777" w:rsidTr="003940D8">
        <w:trPr>
          <w:trHeight w:val="290"/>
        </w:trPr>
        <w:tc>
          <w:tcPr>
            <w:tcW w:w="562" w:type="dxa"/>
            <w:tcBorders>
              <w:top w:val="nil"/>
              <w:left w:val="single" w:sz="4" w:space="0" w:color="auto"/>
              <w:bottom w:val="single" w:sz="4" w:space="0" w:color="auto"/>
              <w:right w:val="nil"/>
            </w:tcBorders>
            <w:shd w:val="clear" w:color="auto" w:fill="auto"/>
            <w:noWrap/>
            <w:vAlign w:val="bottom"/>
            <w:hideMark/>
          </w:tcPr>
          <w:p w14:paraId="60199094" w14:textId="77777777" w:rsidR="008074B6" w:rsidRPr="008074B6" w:rsidRDefault="008074B6" w:rsidP="008074B6">
            <w:pPr>
              <w:spacing w:after="0" w:line="240" w:lineRule="auto"/>
              <w:rPr>
                <w:rFonts w:ascii="FS Elliot Pro" w:eastAsia="Times New Roman" w:hAnsi="FS Elliot Pro" w:cs="Calibri"/>
                <w:color w:val="000000"/>
                <w:lang w:eastAsia="es-CL"/>
              </w:rPr>
            </w:pPr>
            <w:r w:rsidRPr="008074B6">
              <w:rPr>
                <w:rFonts w:ascii="FS Elliot Pro" w:eastAsia="Times New Roman" w:hAnsi="FS Elliot Pro" w:cs="Calibri"/>
                <w:color w:val="000000"/>
                <w:lang w:eastAsia="es-CL"/>
              </w:rPr>
              <w:t> </w:t>
            </w:r>
          </w:p>
        </w:tc>
        <w:tc>
          <w:tcPr>
            <w:tcW w:w="7088" w:type="dxa"/>
            <w:tcBorders>
              <w:top w:val="nil"/>
              <w:left w:val="nil"/>
              <w:bottom w:val="single" w:sz="4" w:space="0" w:color="auto"/>
              <w:right w:val="nil"/>
            </w:tcBorders>
            <w:shd w:val="clear" w:color="auto" w:fill="auto"/>
            <w:noWrap/>
            <w:vAlign w:val="bottom"/>
            <w:hideMark/>
          </w:tcPr>
          <w:p w14:paraId="4FCC7114" w14:textId="64DEC765" w:rsidR="008074B6" w:rsidRPr="00216BF5" w:rsidRDefault="008074B6" w:rsidP="008074B6">
            <w:pPr>
              <w:spacing w:after="0" w:line="240" w:lineRule="auto"/>
              <w:rPr>
                <w:rFonts w:ascii="FS Elliot Pro" w:eastAsia="Times New Roman" w:hAnsi="FS Elliot Pro" w:cs="Calibri"/>
                <w:color w:val="000000"/>
                <w:highlight w:val="green"/>
                <w:lang w:eastAsia="es-CL"/>
              </w:rPr>
            </w:pPr>
            <w:r w:rsidRPr="00216BF5">
              <w:rPr>
                <w:rFonts w:ascii="FS Elliot Pro" w:eastAsia="Times New Roman" w:hAnsi="FS Elliot Pro" w:cs="Calibri"/>
                <w:color w:val="000000"/>
                <w:highlight w:val="green"/>
                <w:lang w:eastAsia="es-CL"/>
              </w:rPr>
              <w:t>Otros Alternativos</w:t>
            </w:r>
            <w:r w:rsidR="004336B8" w:rsidRPr="00216BF5">
              <w:rPr>
                <w:rStyle w:val="Refdenotaalpie"/>
                <w:rFonts w:ascii="FS Elliot Pro" w:eastAsia="Times New Roman" w:hAnsi="FS Elliot Pro" w:cs="Calibri"/>
                <w:color w:val="000000"/>
                <w:highlight w:val="green"/>
                <w:lang w:eastAsia="es-CL"/>
              </w:rPr>
              <w:footnoteReference w:id="3"/>
            </w: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711AFB02" w14:textId="77777777" w:rsidR="008074B6" w:rsidRPr="008074B6" w:rsidRDefault="008074B6" w:rsidP="003940D8">
            <w:pPr>
              <w:spacing w:after="0" w:line="240" w:lineRule="auto"/>
              <w:jc w:val="center"/>
              <w:rPr>
                <w:rFonts w:ascii="FS Elliot Pro" w:eastAsia="Times New Roman" w:hAnsi="FS Elliot Pro" w:cs="Calibri"/>
                <w:color w:val="000000"/>
                <w:lang w:eastAsia="es-CL"/>
              </w:rPr>
            </w:pPr>
            <w:r w:rsidRPr="008074B6">
              <w:rPr>
                <w:rFonts w:ascii="FS Elliot Pro" w:eastAsia="Times New Roman" w:hAnsi="FS Elliot Pro" w:cs="Calibri"/>
                <w:color w:val="000000"/>
                <w:lang w:eastAsia="es-CL"/>
              </w:rPr>
              <w:t>2%</w:t>
            </w:r>
          </w:p>
        </w:tc>
      </w:tr>
      <w:tr w:rsidR="008074B6" w:rsidRPr="008074B6" w14:paraId="4A502995" w14:textId="77777777" w:rsidTr="003940D8">
        <w:trPr>
          <w:trHeight w:val="290"/>
        </w:trPr>
        <w:tc>
          <w:tcPr>
            <w:tcW w:w="7650" w:type="dxa"/>
            <w:gridSpan w:val="2"/>
            <w:tcBorders>
              <w:top w:val="nil"/>
              <w:left w:val="single" w:sz="4" w:space="0" w:color="auto"/>
              <w:bottom w:val="nil"/>
              <w:right w:val="nil"/>
            </w:tcBorders>
            <w:shd w:val="clear" w:color="auto" w:fill="auto"/>
            <w:noWrap/>
            <w:hideMark/>
          </w:tcPr>
          <w:p w14:paraId="63B78EA4" w14:textId="77777777" w:rsidR="008074B6" w:rsidRPr="008074B6" w:rsidRDefault="008074B6" w:rsidP="008074B6">
            <w:pPr>
              <w:spacing w:after="0" w:line="240" w:lineRule="auto"/>
              <w:rPr>
                <w:rFonts w:ascii="FS Elliot Pro" w:eastAsia="Times New Roman" w:hAnsi="FS Elliot Pro" w:cs="Calibri"/>
                <w:b/>
                <w:bCs/>
                <w:color w:val="000000"/>
                <w:lang w:eastAsia="es-CL"/>
              </w:rPr>
            </w:pPr>
            <w:r w:rsidRPr="00216BF5">
              <w:rPr>
                <w:rFonts w:ascii="FS Elliot Pro" w:eastAsia="Times New Roman" w:hAnsi="FS Elliot Pro" w:cs="Calibri"/>
                <w:b/>
                <w:bCs/>
                <w:color w:val="000000"/>
                <w:highlight w:val="green"/>
                <w:lang w:eastAsia="es-CL"/>
              </w:rPr>
              <w:t xml:space="preserve">Acciones o </w:t>
            </w:r>
            <w:r w:rsidRPr="00216BF5">
              <w:rPr>
                <w:rFonts w:ascii="FS Elliot Pro" w:eastAsia="Times New Roman" w:hAnsi="FS Elliot Pro" w:cs="Calibri"/>
                <w:b/>
                <w:bCs/>
                <w:i/>
                <w:iCs/>
                <w:color w:val="000000"/>
                <w:highlight w:val="green"/>
                <w:lang w:eastAsia="es-CL"/>
              </w:rPr>
              <w:t>ETFs</w:t>
            </w:r>
          </w:p>
        </w:tc>
        <w:tc>
          <w:tcPr>
            <w:tcW w:w="1276" w:type="dxa"/>
            <w:tcBorders>
              <w:top w:val="nil"/>
              <w:left w:val="single" w:sz="4" w:space="0" w:color="auto"/>
              <w:bottom w:val="nil"/>
              <w:right w:val="single" w:sz="4" w:space="0" w:color="auto"/>
            </w:tcBorders>
            <w:shd w:val="clear" w:color="auto" w:fill="auto"/>
            <w:noWrap/>
            <w:vAlign w:val="bottom"/>
            <w:hideMark/>
          </w:tcPr>
          <w:p w14:paraId="13E81A93" w14:textId="77777777" w:rsidR="008074B6" w:rsidRPr="008074B6" w:rsidRDefault="008074B6" w:rsidP="003940D8">
            <w:pPr>
              <w:spacing w:after="0" w:line="240" w:lineRule="auto"/>
              <w:jc w:val="center"/>
              <w:rPr>
                <w:rFonts w:ascii="FS Elliot Pro" w:eastAsia="Times New Roman" w:hAnsi="FS Elliot Pro" w:cs="Calibri"/>
                <w:b/>
                <w:bCs/>
                <w:color w:val="000000"/>
                <w:lang w:eastAsia="es-CL"/>
              </w:rPr>
            </w:pPr>
            <w:r w:rsidRPr="008074B6">
              <w:rPr>
                <w:rFonts w:ascii="FS Elliot Pro" w:eastAsia="Times New Roman" w:hAnsi="FS Elliot Pro" w:cs="Calibri"/>
                <w:b/>
                <w:bCs/>
                <w:color w:val="000000"/>
                <w:lang w:eastAsia="es-CL"/>
              </w:rPr>
              <w:t>1%</w:t>
            </w:r>
          </w:p>
        </w:tc>
      </w:tr>
      <w:tr w:rsidR="008074B6" w:rsidRPr="008074B6" w14:paraId="65231B13" w14:textId="77777777" w:rsidTr="003940D8">
        <w:trPr>
          <w:trHeight w:val="290"/>
        </w:trPr>
        <w:tc>
          <w:tcPr>
            <w:tcW w:w="7650" w:type="dxa"/>
            <w:gridSpan w:val="2"/>
            <w:tcBorders>
              <w:top w:val="single" w:sz="4" w:space="0" w:color="auto"/>
              <w:left w:val="single" w:sz="4" w:space="0" w:color="auto"/>
              <w:bottom w:val="single" w:sz="4" w:space="0" w:color="auto"/>
              <w:right w:val="nil"/>
            </w:tcBorders>
            <w:shd w:val="clear" w:color="auto" w:fill="auto"/>
            <w:noWrap/>
            <w:hideMark/>
          </w:tcPr>
          <w:p w14:paraId="00580B1B" w14:textId="77777777" w:rsidR="008074B6" w:rsidRPr="008074B6" w:rsidRDefault="008074B6" w:rsidP="008074B6">
            <w:pPr>
              <w:spacing w:after="0" w:line="240" w:lineRule="auto"/>
              <w:rPr>
                <w:rFonts w:ascii="FS Elliot Pro" w:eastAsia="Times New Roman" w:hAnsi="FS Elliot Pro" w:cs="Calibri"/>
                <w:b/>
                <w:bCs/>
                <w:color w:val="000000"/>
                <w:lang w:eastAsia="es-CL"/>
              </w:rPr>
            </w:pPr>
            <w:r w:rsidRPr="00216BF5">
              <w:rPr>
                <w:rFonts w:ascii="FS Elliot Pro" w:eastAsia="Times New Roman" w:hAnsi="FS Elliot Pro" w:cs="Calibri"/>
                <w:b/>
                <w:bCs/>
                <w:color w:val="000000"/>
                <w:highlight w:val="green"/>
                <w:lang w:eastAsia="es-CL"/>
              </w:rPr>
              <w:t>Fondos de Money Market</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AEB358" w14:textId="77777777" w:rsidR="008074B6" w:rsidRPr="008074B6" w:rsidRDefault="008074B6" w:rsidP="003940D8">
            <w:pPr>
              <w:spacing w:after="0" w:line="240" w:lineRule="auto"/>
              <w:jc w:val="center"/>
              <w:rPr>
                <w:rFonts w:ascii="FS Elliot Pro" w:eastAsia="Times New Roman" w:hAnsi="FS Elliot Pro" w:cs="Calibri"/>
                <w:b/>
                <w:bCs/>
                <w:color w:val="000000"/>
                <w:lang w:eastAsia="es-CL"/>
              </w:rPr>
            </w:pPr>
            <w:r w:rsidRPr="008074B6">
              <w:rPr>
                <w:rFonts w:ascii="FS Elliot Pro" w:eastAsia="Times New Roman" w:hAnsi="FS Elliot Pro" w:cs="Calibri"/>
                <w:b/>
                <w:bCs/>
                <w:color w:val="000000"/>
                <w:lang w:eastAsia="es-CL"/>
              </w:rPr>
              <w:t>4%</w:t>
            </w:r>
          </w:p>
        </w:tc>
      </w:tr>
      <w:tr w:rsidR="008074B6" w:rsidRPr="008074B6" w14:paraId="3C419E6E" w14:textId="77777777" w:rsidTr="003940D8">
        <w:trPr>
          <w:trHeight w:val="290"/>
        </w:trPr>
        <w:tc>
          <w:tcPr>
            <w:tcW w:w="7650" w:type="dxa"/>
            <w:gridSpan w:val="2"/>
            <w:tcBorders>
              <w:top w:val="single" w:sz="4" w:space="0" w:color="auto"/>
              <w:left w:val="single" w:sz="4" w:space="0" w:color="auto"/>
              <w:bottom w:val="single" w:sz="4" w:space="0" w:color="auto"/>
              <w:right w:val="nil"/>
            </w:tcBorders>
            <w:shd w:val="clear" w:color="auto" w:fill="auto"/>
            <w:noWrap/>
            <w:hideMark/>
          </w:tcPr>
          <w:p w14:paraId="0ED2838B" w14:textId="77777777" w:rsidR="008074B6" w:rsidRPr="008074B6" w:rsidRDefault="008074B6" w:rsidP="008074B6">
            <w:pPr>
              <w:spacing w:after="0" w:line="240" w:lineRule="auto"/>
              <w:rPr>
                <w:rFonts w:ascii="FS Elliot Pro" w:eastAsia="Times New Roman" w:hAnsi="FS Elliot Pro" w:cs="Calibri"/>
                <w:b/>
                <w:bCs/>
                <w:color w:val="000000"/>
                <w:lang w:eastAsia="es-CL"/>
              </w:rPr>
            </w:pPr>
            <w:r w:rsidRPr="00216BF5">
              <w:rPr>
                <w:rFonts w:ascii="FS Elliot Pro" w:eastAsia="Times New Roman" w:hAnsi="FS Elliot Pro" w:cs="Calibri"/>
                <w:b/>
                <w:bCs/>
                <w:color w:val="000000"/>
                <w:highlight w:val="green"/>
                <w:lang w:eastAsia="es-CL"/>
              </w:rPr>
              <w:t>Créditos de Consumo</w:t>
            </w: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14:paraId="3D0D2498" w14:textId="77777777" w:rsidR="008074B6" w:rsidRPr="008074B6" w:rsidRDefault="008074B6" w:rsidP="003940D8">
            <w:pPr>
              <w:spacing w:after="0" w:line="240" w:lineRule="auto"/>
              <w:jc w:val="center"/>
              <w:rPr>
                <w:rFonts w:ascii="FS Elliot Pro" w:eastAsia="Times New Roman" w:hAnsi="FS Elliot Pro" w:cs="Calibri"/>
                <w:b/>
                <w:bCs/>
                <w:color w:val="000000"/>
                <w:lang w:eastAsia="es-CL"/>
              </w:rPr>
            </w:pPr>
            <w:r w:rsidRPr="008074B6">
              <w:rPr>
                <w:rFonts w:ascii="FS Elliot Pro" w:eastAsia="Times New Roman" w:hAnsi="FS Elliot Pro" w:cs="Calibri"/>
                <w:b/>
                <w:bCs/>
                <w:color w:val="000000"/>
                <w:lang w:eastAsia="es-CL"/>
              </w:rPr>
              <w:t>3%</w:t>
            </w:r>
          </w:p>
        </w:tc>
      </w:tr>
    </w:tbl>
    <w:p w14:paraId="546B3A13" w14:textId="77777777" w:rsidR="00654CEB" w:rsidRPr="00654CEB" w:rsidRDefault="00654CEB" w:rsidP="00654CEB">
      <w:pPr>
        <w:jc w:val="both"/>
        <w:rPr>
          <w:rFonts w:ascii="FS Elliot Pro" w:hAnsi="FS Elliot Pro"/>
          <w:szCs w:val="28"/>
        </w:rPr>
      </w:pPr>
      <w:r w:rsidRPr="00654CEB">
        <w:rPr>
          <w:rFonts w:ascii="FS Elliot Pro" w:hAnsi="FS Elliot Pro"/>
          <w:szCs w:val="28"/>
        </w:rPr>
        <w:lastRenderedPageBreak/>
        <w:t>Para los tipos de instrumentos que no se encuentran detalladas en la tabla previa, aplicarán los límites establecidos en el D.F.L.251.</w:t>
      </w:r>
    </w:p>
    <w:p w14:paraId="5F17BD3D" w14:textId="57BAE847" w:rsidR="008A6049" w:rsidRDefault="00FB5B52" w:rsidP="00654CEB">
      <w:pPr>
        <w:jc w:val="both"/>
        <w:rPr>
          <w:rFonts w:ascii="FS Elliot Pro" w:hAnsi="FS Elliot Pro"/>
          <w:szCs w:val="28"/>
        </w:rPr>
      </w:pPr>
      <w:commentRangeStart w:id="3"/>
      <w:r w:rsidRPr="00216BF5">
        <w:rPr>
          <w:rFonts w:ascii="FS Elliot Pro" w:hAnsi="FS Elliot Pro"/>
          <w:szCs w:val="28"/>
          <w:highlight w:val="yellow"/>
        </w:rPr>
        <w:t>El conjunto de inversiones realizadas a través de vehículos de inversión de renta variable debe totalizar un máximo de 10% del portafolio total de la compañía.</w:t>
      </w:r>
      <w:r w:rsidRPr="00FB5B52">
        <w:rPr>
          <w:rFonts w:ascii="FS Elliot Pro" w:hAnsi="FS Elliot Pro"/>
          <w:szCs w:val="28"/>
        </w:rPr>
        <w:t xml:space="preserve">  </w:t>
      </w:r>
      <w:commentRangeEnd w:id="3"/>
      <w:r w:rsidR="00216BF5">
        <w:rPr>
          <w:rStyle w:val="Refdecomentario"/>
        </w:rPr>
        <w:commentReference w:id="3"/>
      </w:r>
    </w:p>
    <w:p w14:paraId="386DC6AF" w14:textId="17F38CA1" w:rsidR="00523AA0" w:rsidRDefault="00523AA0" w:rsidP="00654CEB">
      <w:pPr>
        <w:jc w:val="both"/>
        <w:rPr>
          <w:rFonts w:ascii="FS Elliot Pro" w:hAnsi="FS Elliot Pro"/>
          <w:szCs w:val="28"/>
        </w:rPr>
      </w:pPr>
      <w:bookmarkStart w:id="4" w:name="_Hlk69897134"/>
      <w:r w:rsidRPr="00216BF5">
        <w:rPr>
          <w:rFonts w:ascii="FS Elliot Pro" w:hAnsi="FS Elliot Pro"/>
          <w:szCs w:val="28"/>
          <w:highlight w:val="green"/>
        </w:rPr>
        <w:t xml:space="preserve">El total de inversiones inmobiliarias, incluyendo financiamiento </w:t>
      </w:r>
      <w:r w:rsidR="0042216A" w:rsidRPr="00216BF5">
        <w:rPr>
          <w:rFonts w:ascii="FS Elliot Pro" w:hAnsi="FS Elliot Pro"/>
          <w:szCs w:val="28"/>
          <w:highlight w:val="green"/>
        </w:rPr>
        <w:t>y vehículos de renta variable</w:t>
      </w:r>
      <w:r w:rsidR="00F90157" w:rsidRPr="00216BF5">
        <w:rPr>
          <w:rFonts w:ascii="FS Elliot Pro" w:hAnsi="FS Elliot Pro"/>
          <w:szCs w:val="28"/>
          <w:highlight w:val="green"/>
        </w:rPr>
        <w:t xml:space="preserve"> directos o</w:t>
      </w:r>
      <w:r w:rsidR="0042216A" w:rsidRPr="00216BF5">
        <w:rPr>
          <w:rFonts w:ascii="FS Elliot Pro" w:hAnsi="FS Elliot Pro"/>
          <w:szCs w:val="28"/>
          <w:highlight w:val="green"/>
        </w:rPr>
        <w:t xml:space="preserve"> </w:t>
      </w:r>
      <w:r w:rsidR="00190A04" w:rsidRPr="00216BF5">
        <w:rPr>
          <w:rFonts w:ascii="FS Elliot Pro" w:hAnsi="FS Elliot Pro"/>
          <w:szCs w:val="28"/>
          <w:highlight w:val="green"/>
        </w:rPr>
        <w:t xml:space="preserve">indirectos </w:t>
      </w:r>
      <w:r w:rsidR="0042216A" w:rsidRPr="00216BF5">
        <w:rPr>
          <w:rFonts w:ascii="FS Elliot Pro" w:hAnsi="FS Elliot Pro"/>
          <w:szCs w:val="28"/>
          <w:highlight w:val="green"/>
        </w:rPr>
        <w:t>con subyacente inmobiliario, no debe superar el 40% del portafolio total de la compañía.</w:t>
      </w:r>
      <w:r w:rsidR="0042216A">
        <w:rPr>
          <w:rFonts w:ascii="FS Elliot Pro" w:hAnsi="FS Elliot Pro"/>
          <w:szCs w:val="28"/>
        </w:rPr>
        <w:t xml:space="preserve"> </w:t>
      </w:r>
    </w:p>
    <w:bookmarkEnd w:id="4"/>
    <w:p w14:paraId="7FC97679" w14:textId="336F8649" w:rsidR="00654CEB" w:rsidRDefault="00654CEB" w:rsidP="00654CEB">
      <w:pPr>
        <w:jc w:val="both"/>
        <w:rPr>
          <w:rFonts w:ascii="FS Elliot Pro" w:hAnsi="FS Elliot Pro"/>
          <w:szCs w:val="28"/>
        </w:rPr>
      </w:pPr>
      <w:r w:rsidRPr="00654CEB">
        <w:rPr>
          <w:rFonts w:ascii="FS Elliot Pro" w:hAnsi="FS Elliot Pro"/>
          <w:szCs w:val="28"/>
        </w:rPr>
        <w:t>Los fondos de inversión serán clasificados en base a sus activos subyacentes para efectos de medición de estos límites.</w:t>
      </w:r>
    </w:p>
    <w:p w14:paraId="6ED2F00C" w14:textId="77777777" w:rsidR="00654CEB" w:rsidRPr="00654CEB" w:rsidRDefault="00654CEB" w:rsidP="00654CEB">
      <w:pPr>
        <w:jc w:val="both"/>
        <w:rPr>
          <w:rFonts w:ascii="FS Elliot Pro" w:hAnsi="FS Elliot Pro"/>
          <w:szCs w:val="28"/>
        </w:rPr>
      </w:pPr>
    </w:p>
    <w:p w14:paraId="2D4FF25F" w14:textId="77777777" w:rsidR="007A2AC6" w:rsidRPr="003B0C4D" w:rsidRDefault="007A2AC6" w:rsidP="007A2AC6">
      <w:pPr>
        <w:pStyle w:val="Prrafodelista"/>
        <w:numPr>
          <w:ilvl w:val="0"/>
          <w:numId w:val="4"/>
        </w:numPr>
        <w:jc w:val="both"/>
        <w:rPr>
          <w:rFonts w:ascii="FS Elliot Pro" w:hAnsi="FS Elliot Pro"/>
          <w:b/>
          <w:color w:val="2F5496" w:themeColor="accent1" w:themeShade="BF"/>
          <w:szCs w:val="28"/>
          <w:highlight w:val="green"/>
        </w:rPr>
      </w:pPr>
      <w:r w:rsidRPr="003B0C4D">
        <w:rPr>
          <w:rFonts w:ascii="FS Elliot Pro" w:hAnsi="FS Elliot Pro"/>
          <w:b/>
          <w:color w:val="2F5496" w:themeColor="accent1" w:themeShade="BF"/>
          <w:szCs w:val="28"/>
          <w:highlight w:val="green"/>
        </w:rPr>
        <w:t>Límites por emisor</w:t>
      </w:r>
    </w:p>
    <w:p w14:paraId="6F1203A5" w14:textId="77777777" w:rsidR="00654CEB" w:rsidRPr="00654CEB" w:rsidRDefault="00654CEB" w:rsidP="00654CEB">
      <w:pPr>
        <w:jc w:val="both"/>
        <w:rPr>
          <w:rFonts w:ascii="FS Elliot Pro" w:hAnsi="FS Elliot Pro"/>
          <w:szCs w:val="28"/>
        </w:rPr>
      </w:pPr>
      <w:r w:rsidRPr="00654CEB">
        <w:rPr>
          <w:rFonts w:ascii="FS Elliot Pro" w:hAnsi="FS Elliot Pro"/>
          <w:szCs w:val="28"/>
        </w:rPr>
        <w:t>El límite por emisor que deberá ser usado en la actividad de inversiones será el menor entre el límite regulatorio y el que se describe a continuación en esta política de inversiones. El límite regulatorio será aquel instruido por la Comisión para el Mercado Financiero (CMF) de acuerdo al D.F.L.251.</w:t>
      </w:r>
    </w:p>
    <w:p w14:paraId="2122C8AE" w14:textId="77777777" w:rsidR="00654CEB" w:rsidRPr="00654CEB" w:rsidRDefault="00654CEB" w:rsidP="00654CEB">
      <w:pPr>
        <w:jc w:val="both"/>
        <w:rPr>
          <w:rFonts w:ascii="FS Elliot Pro" w:hAnsi="FS Elliot Pro"/>
          <w:szCs w:val="28"/>
        </w:rPr>
      </w:pPr>
      <w:r w:rsidRPr="00654CEB">
        <w:rPr>
          <w:rFonts w:ascii="FS Elliot Pro" w:hAnsi="FS Elliot Pro"/>
          <w:szCs w:val="28"/>
        </w:rPr>
        <w:t>El límite por emisor de esta política de inversiones se determinará de la siguiente manera:</w:t>
      </w:r>
    </w:p>
    <w:p w14:paraId="4E7978E0" w14:textId="2D61B02B" w:rsidR="00654CEB" w:rsidRPr="009A7741" w:rsidRDefault="00654CEB" w:rsidP="00654CEB">
      <w:pPr>
        <w:ind w:firstLine="360"/>
        <w:jc w:val="both"/>
        <w:rPr>
          <w:rFonts w:ascii="FS Elliot Pro" w:hAnsi="FS Elliot Pro"/>
          <w:szCs w:val="28"/>
        </w:rPr>
      </w:pPr>
      <w:r w:rsidRPr="00654CEB">
        <w:rPr>
          <w:rFonts w:ascii="FS Elliot Pro" w:hAnsi="FS Elliot Pro"/>
          <w:szCs w:val="28"/>
        </w:rPr>
        <w:t>a.</w:t>
      </w:r>
      <w:r>
        <w:rPr>
          <w:rFonts w:ascii="FS Elliot Pro" w:hAnsi="FS Elliot Pro"/>
          <w:szCs w:val="28"/>
        </w:rPr>
        <w:t xml:space="preserve"> </w:t>
      </w:r>
      <w:r w:rsidRPr="00654CEB">
        <w:rPr>
          <w:rFonts w:ascii="FS Elliot Pro" w:hAnsi="FS Elliot Pro"/>
          <w:szCs w:val="28"/>
        </w:rPr>
        <w:t xml:space="preserve">Para instrumentos de Renta Fija, Bienes Raíces No Habitacionales con contrato de arriendo con opción de recompra y Contratos de Mutuos Hipotecarios Endosables no habitacionales, se usarán los límites por emisor </w:t>
      </w:r>
      <w:r w:rsidRPr="009A7741">
        <w:rPr>
          <w:rFonts w:ascii="FS Elliot Pro" w:hAnsi="FS Elliot Pro"/>
          <w:szCs w:val="28"/>
        </w:rPr>
        <w:t xml:space="preserve">aprobados por el Comité de Inversiones de Principal </w:t>
      </w:r>
      <w:r w:rsidR="00FB5B52" w:rsidRPr="009A7741">
        <w:rPr>
          <w:rFonts w:ascii="FS Elliot Pro" w:hAnsi="FS Elliot Pro"/>
          <w:szCs w:val="28"/>
        </w:rPr>
        <w:t>Vida Chile</w:t>
      </w:r>
      <w:r w:rsidRPr="009A7741">
        <w:rPr>
          <w:rFonts w:ascii="FS Elliot Pro" w:hAnsi="FS Elliot Pro"/>
          <w:szCs w:val="28"/>
        </w:rPr>
        <w:t xml:space="preserve">. Se establece que los límites aprobados por el Comité de Inversiones de Principal </w:t>
      </w:r>
      <w:r w:rsidR="00FB5B52" w:rsidRPr="009A7741">
        <w:rPr>
          <w:rFonts w:ascii="FS Elliot Pro" w:hAnsi="FS Elliot Pro"/>
          <w:szCs w:val="28"/>
        </w:rPr>
        <w:t>Vida Chile</w:t>
      </w:r>
      <w:r w:rsidRPr="009A7741">
        <w:rPr>
          <w:rFonts w:ascii="FS Elliot Pro" w:hAnsi="FS Elliot Pro"/>
          <w:szCs w:val="28"/>
        </w:rPr>
        <w:t xml:space="preserve"> son determinados en consideración a la clasificación de riesgo interno del emisor, y son los siguientes:</w:t>
      </w:r>
    </w:p>
    <w:tbl>
      <w:tblPr>
        <w:tblW w:w="7422"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1368"/>
        <w:gridCol w:w="1209"/>
        <w:gridCol w:w="1015"/>
        <w:gridCol w:w="1084"/>
        <w:gridCol w:w="1305"/>
      </w:tblGrid>
      <w:tr w:rsidR="00654CEB" w14:paraId="78A0809C" w14:textId="77777777" w:rsidTr="00654CEB">
        <w:trPr>
          <w:trHeight w:val="570"/>
        </w:trPr>
        <w:tc>
          <w:tcPr>
            <w:tcW w:w="1441" w:type="dxa"/>
            <w:vMerge w:val="restart"/>
            <w:tcBorders>
              <w:top w:val="single" w:sz="4" w:space="0" w:color="auto"/>
              <w:left w:val="single" w:sz="4" w:space="0" w:color="auto"/>
              <w:bottom w:val="single" w:sz="4" w:space="0" w:color="auto"/>
              <w:right w:val="single" w:sz="4" w:space="0" w:color="auto"/>
            </w:tcBorders>
            <w:noWrap/>
            <w:vAlign w:val="bottom"/>
            <w:hideMark/>
          </w:tcPr>
          <w:p w14:paraId="251F1606" w14:textId="77777777" w:rsidR="00654CEB" w:rsidRPr="00654CEB" w:rsidRDefault="00654CEB">
            <w:pPr>
              <w:jc w:val="center"/>
              <w:rPr>
                <w:rFonts w:ascii="FS Elliot Pro" w:hAnsi="FS Elliot Pro"/>
                <w:sz w:val="20"/>
              </w:rPr>
            </w:pPr>
            <w:r w:rsidRPr="00654CEB">
              <w:rPr>
                <w:rFonts w:ascii="FS Elliot Pro" w:hAnsi="FS Elliot Pro"/>
                <w:sz w:val="20"/>
              </w:rPr>
              <w:t>Rating Interno</w:t>
            </w:r>
          </w:p>
        </w:tc>
        <w:tc>
          <w:tcPr>
            <w:tcW w:w="5981" w:type="dxa"/>
            <w:gridSpan w:val="5"/>
            <w:tcBorders>
              <w:top w:val="single" w:sz="4" w:space="0" w:color="auto"/>
              <w:left w:val="single" w:sz="4" w:space="0" w:color="auto"/>
              <w:bottom w:val="single" w:sz="4" w:space="0" w:color="auto"/>
              <w:right w:val="single" w:sz="4" w:space="0" w:color="auto"/>
            </w:tcBorders>
            <w:vAlign w:val="bottom"/>
          </w:tcPr>
          <w:p w14:paraId="349CA631" w14:textId="77777777" w:rsidR="00654CEB" w:rsidRPr="00654CEB" w:rsidRDefault="00654CEB">
            <w:pPr>
              <w:rPr>
                <w:rFonts w:ascii="FS Elliot Pro" w:hAnsi="FS Elliot Pro"/>
                <w:sz w:val="20"/>
                <w:lang w:val="en-US"/>
              </w:rPr>
            </w:pPr>
          </w:p>
        </w:tc>
      </w:tr>
      <w:tr w:rsidR="00654CEB" w14:paraId="2A80B5F7" w14:textId="77777777" w:rsidTr="00654CEB">
        <w:trPr>
          <w:trHeight w:val="24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72E692" w14:textId="77777777" w:rsidR="00654CEB" w:rsidRPr="00654CEB" w:rsidRDefault="00654CEB">
            <w:pPr>
              <w:spacing w:after="0"/>
              <w:rPr>
                <w:rFonts w:ascii="FS Elliot Pro" w:hAnsi="FS Elliot Pro"/>
                <w:sz w:val="20"/>
              </w:rPr>
            </w:pPr>
          </w:p>
        </w:tc>
        <w:tc>
          <w:tcPr>
            <w:tcW w:w="1368" w:type="dxa"/>
            <w:tcBorders>
              <w:top w:val="single" w:sz="4" w:space="0" w:color="auto"/>
              <w:left w:val="single" w:sz="4" w:space="0" w:color="auto"/>
              <w:bottom w:val="single" w:sz="4" w:space="0" w:color="auto"/>
              <w:right w:val="single" w:sz="4" w:space="0" w:color="auto"/>
            </w:tcBorders>
            <w:vAlign w:val="bottom"/>
          </w:tcPr>
          <w:p w14:paraId="1304394C" w14:textId="77777777" w:rsidR="00654CEB" w:rsidRPr="00654CEB" w:rsidRDefault="00654CEB">
            <w:pPr>
              <w:jc w:val="center"/>
              <w:rPr>
                <w:rFonts w:ascii="FS Elliot Pro" w:hAnsi="FS Elliot Pro"/>
                <w:sz w:val="20"/>
              </w:rPr>
            </w:pPr>
            <w:r w:rsidRPr="00654CEB">
              <w:rPr>
                <w:rFonts w:ascii="FS Elliot Pro" w:hAnsi="FS Elliot Pro"/>
                <w:sz w:val="20"/>
              </w:rPr>
              <w:t>Compañías no chilenas</w:t>
            </w:r>
          </w:p>
          <w:p w14:paraId="2416CC50" w14:textId="77777777" w:rsidR="00654CEB" w:rsidRPr="00654CEB" w:rsidRDefault="00654CEB">
            <w:pPr>
              <w:rPr>
                <w:rFonts w:ascii="FS Elliot Pro" w:hAnsi="FS Elliot Pro"/>
                <w:sz w:val="20"/>
              </w:rPr>
            </w:pPr>
          </w:p>
        </w:tc>
        <w:tc>
          <w:tcPr>
            <w:tcW w:w="1209" w:type="dxa"/>
            <w:tcBorders>
              <w:top w:val="single" w:sz="4" w:space="0" w:color="auto"/>
              <w:left w:val="single" w:sz="4" w:space="0" w:color="auto"/>
              <w:bottom w:val="single" w:sz="4" w:space="0" w:color="auto"/>
              <w:right w:val="single" w:sz="4" w:space="0" w:color="auto"/>
            </w:tcBorders>
            <w:hideMark/>
          </w:tcPr>
          <w:p w14:paraId="19A8D947" w14:textId="77777777" w:rsidR="00654CEB" w:rsidRPr="00654CEB" w:rsidRDefault="00654CEB">
            <w:pPr>
              <w:jc w:val="center"/>
              <w:rPr>
                <w:rFonts w:ascii="FS Elliot Pro" w:hAnsi="FS Elliot Pro"/>
                <w:sz w:val="20"/>
              </w:rPr>
            </w:pPr>
            <w:r w:rsidRPr="00654CEB">
              <w:rPr>
                <w:rFonts w:ascii="FS Elliot Pro" w:hAnsi="FS Elliot Pro"/>
                <w:sz w:val="20"/>
              </w:rPr>
              <w:t>Compañías chilenas (no bancarias)</w:t>
            </w:r>
          </w:p>
        </w:tc>
        <w:tc>
          <w:tcPr>
            <w:tcW w:w="1015" w:type="dxa"/>
            <w:tcBorders>
              <w:top w:val="single" w:sz="4" w:space="0" w:color="auto"/>
              <w:left w:val="single" w:sz="4" w:space="0" w:color="auto"/>
              <w:bottom w:val="single" w:sz="4" w:space="0" w:color="auto"/>
              <w:right w:val="single" w:sz="4" w:space="0" w:color="auto"/>
            </w:tcBorders>
            <w:hideMark/>
          </w:tcPr>
          <w:p w14:paraId="7DA445D1" w14:textId="77777777" w:rsidR="00654CEB" w:rsidRPr="00654CEB" w:rsidRDefault="00654CEB">
            <w:pPr>
              <w:jc w:val="center"/>
              <w:rPr>
                <w:rFonts w:ascii="FS Elliot Pro" w:hAnsi="FS Elliot Pro"/>
                <w:sz w:val="20"/>
              </w:rPr>
            </w:pPr>
            <w:r w:rsidRPr="00654CEB">
              <w:rPr>
                <w:rFonts w:ascii="FS Elliot Pro" w:hAnsi="FS Elliot Pro"/>
                <w:sz w:val="20"/>
              </w:rPr>
              <w:t>Bancos chilenos (1)</w:t>
            </w:r>
          </w:p>
        </w:tc>
        <w:tc>
          <w:tcPr>
            <w:tcW w:w="1084" w:type="dxa"/>
            <w:tcBorders>
              <w:top w:val="single" w:sz="4" w:space="0" w:color="auto"/>
              <w:left w:val="single" w:sz="4" w:space="0" w:color="auto"/>
              <w:bottom w:val="single" w:sz="4" w:space="0" w:color="auto"/>
              <w:right w:val="single" w:sz="4" w:space="0" w:color="auto"/>
            </w:tcBorders>
            <w:hideMark/>
          </w:tcPr>
          <w:p w14:paraId="221758A4" w14:textId="77777777" w:rsidR="00654CEB" w:rsidRPr="00654CEB" w:rsidRDefault="00654CEB">
            <w:pPr>
              <w:jc w:val="center"/>
              <w:rPr>
                <w:rFonts w:ascii="FS Elliot Pro" w:hAnsi="FS Elliot Pro"/>
                <w:sz w:val="20"/>
                <w:lang w:val="en-US"/>
              </w:rPr>
            </w:pPr>
            <w:r w:rsidRPr="00654CEB">
              <w:rPr>
                <w:rFonts w:ascii="FS Elliot Pro" w:hAnsi="FS Elliot Pro"/>
                <w:sz w:val="20"/>
                <w:lang w:val="en-US"/>
              </w:rPr>
              <w:t>Bancos Chilenos (2)</w:t>
            </w:r>
          </w:p>
        </w:tc>
        <w:tc>
          <w:tcPr>
            <w:tcW w:w="1305" w:type="dxa"/>
            <w:tcBorders>
              <w:top w:val="single" w:sz="4" w:space="0" w:color="auto"/>
              <w:left w:val="single" w:sz="4" w:space="0" w:color="auto"/>
              <w:bottom w:val="single" w:sz="4" w:space="0" w:color="auto"/>
              <w:right w:val="single" w:sz="4" w:space="0" w:color="auto"/>
            </w:tcBorders>
            <w:hideMark/>
          </w:tcPr>
          <w:p w14:paraId="74B04CD6" w14:textId="77777777" w:rsidR="00654CEB" w:rsidRPr="00654CEB" w:rsidRDefault="00654CEB">
            <w:pPr>
              <w:jc w:val="center"/>
              <w:rPr>
                <w:rFonts w:ascii="FS Elliot Pro" w:hAnsi="FS Elliot Pro"/>
                <w:sz w:val="20"/>
              </w:rPr>
            </w:pPr>
            <w:r w:rsidRPr="00654CEB">
              <w:rPr>
                <w:rFonts w:ascii="FS Elliot Pro" w:hAnsi="FS Elliot Pro"/>
                <w:sz w:val="20"/>
                <w:lang w:val="en-US"/>
              </w:rPr>
              <w:t>Bancos Chilenos (3)</w:t>
            </w:r>
          </w:p>
        </w:tc>
      </w:tr>
      <w:tr w:rsidR="00654CEB" w14:paraId="1CE2E757" w14:textId="77777777" w:rsidTr="00654CEB">
        <w:trPr>
          <w:trHeight w:val="255"/>
        </w:trPr>
        <w:tc>
          <w:tcPr>
            <w:tcW w:w="1441" w:type="dxa"/>
            <w:tcBorders>
              <w:top w:val="single" w:sz="4" w:space="0" w:color="auto"/>
              <w:left w:val="single" w:sz="4" w:space="0" w:color="auto"/>
              <w:bottom w:val="single" w:sz="4" w:space="0" w:color="auto"/>
              <w:right w:val="single" w:sz="4" w:space="0" w:color="auto"/>
            </w:tcBorders>
            <w:noWrap/>
            <w:vAlign w:val="bottom"/>
            <w:hideMark/>
          </w:tcPr>
          <w:p w14:paraId="26D180E6" w14:textId="77777777" w:rsidR="00654CEB" w:rsidRPr="00654CEB" w:rsidRDefault="00654CEB">
            <w:pPr>
              <w:rPr>
                <w:rFonts w:ascii="FS Elliot Pro" w:hAnsi="FS Elliot Pro"/>
                <w:sz w:val="20"/>
              </w:rPr>
            </w:pPr>
            <w:r w:rsidRPr="00654CEB">
              <w:rPr>
                <w:rFonts w:ascii="FS Elliot Pro" w:hAnsi="FS Elliot Pro"/>
                <w:sz w:val="20"/>
              </w:rPr>
              <w:t>AA- o superior</w:t>
            </w:r>
          </w:p>
        </w:tc>
        <w:tc>
          <w:tcPr>
            <w:tcW w:w="1368" w:type="dxa"/>
            <w:tcBorders>
              <w:top w:val="single" w:sz="4" w:space="0" w:color="auto"/>
              <w:left w:val="single" w:sz="4" w:space="0" w:color="auto"/>
              <w:bottom w:val="single" w:sz="4" w:space="0" w:color="auto"/>
              <w:right w:val="single" w:sz="4" w:space="0" w:color="auto"/>
            </w:tcBorders>
            <w:noWrap/>
            <w:vAlign w:val="bottom"/>
            <w:hideMark/>
          </w:tcPr>
          <w:p w14:paraId="4E4ACBEC" w14:textId="77777777" w:rsidR="00654CEB" w:rsidRPr="00654CEB" w:rsidRDefault="00654CEB">
            <w:pPr>
              <w:jc w:val="center"/>
              <w:rPr>
                <w:rFonts w:ascii="FS Elliot Pro" w:hAnsi="FS Elliot Pro"/>
                <w:sz w:val="20"/>
              </w:rPr>
            </w:pPr>
            <w:r w:rsidRPr="00654CEB">
              <w:rPr>
                <w:rFonts w:ascii="FS Elliot Pro" w:hAnsi="FS Elliot Pro"/>
                <w:sz w:val="20"/>
              </w:rPr>
              <w:t>10,0%</w:t>
            </w:r>
          </w:p>
        </w:tc>
        <w:tc>
          <w:tcPr>
            <w:tcW w:w="1209" w:type="dxa"/>
            <w:tcBorders>
              <w:top w:val="single" w:sz="4" w:space="0" w:color="auto"/>
              <w:left w:val="single" w:sz="4" w:space="0" w:color="auto"/>
              <w:bottom w:val="single" w:sz="4" w:space="0" w:color="auto"/>
              <w:right w:val="single" w:sz="4" w:space="0" w:color="auto"/>
            </w:tcBorders>
            <w:vAlign w:val="bottom"/>
            <w:hideMark/>
          </w:tcPr>
          <w:p w14:paraId="267E0ACE" w14:textId="77777777" w:rsidR="00654CEB" w:rsidRPr="00654CEB" w:rsidRDefault="00654CEB">
            <w:pPr>
              <w:jc w:val="center"/>
              <w:rPr>
                <w:rFonts w:ascii="FS Elliot Pro" w:hAnsi="FS Elliot Pro"/>
                <w:sz w:val="20"/>
              </w:rPr>
            </w:pPr>
            <w:r w:rsidRPr="00654CEB">
              <w:rPr>
                <w:rFonts w:ascii="FS Elliot Pro" w:hAnsi="FS Elliot Pro"/>
                <w:sz w:val="20"/>
              </w:rPr>
              <w:t>15,0%</w:t>
            </w:r>
          </w:p>
        </w:tc>
        <w:tc>
          <w:tcPr>
            <w:tcW w:w="1015" w:type="dxa"/>
            <w:tcBorders>
              <w:top w:val="single" w:sz="4" w:space="0" w:color="auto"/>
              <w:left w:val="single" w:sz="4" w:space="0" w:color="auto"/>
              <w:bottom w:val="single" w:sz="4" w:space="0" w:color="auto"/>
              <w:right w:val="single" w:sz="4" w:space="0" w:color="auto"/>
            </w:tcBorders>
            <w:vAlign w:val="bottom"/>
            <w:hideMark/>
          </w:tcPr>
          <w:p w14:paraId="4C715428" w14:textId="77777777" w:rsidR="00654CEB" w:rsidRPr="00654CEB" w:rsidRDefault="00654CEB">
            <w:pPr>
              <w:jc w:val="center"/>
              <w:rPr>
                <w:rFonts w:ascii="FS Elliot Pro" w:hAnsi="FS Elliot Pro"/>
                <w:sz w:val="20"/>
              </w:rPr>
            </w:pPr>
            <w:r w:rsidRPr="00654CEB">
              <w:rPr>
                <w:rFonts w:ascii="FS Elliot Pro" w:hAnsi="FS Elliot Pro"/>
                <w:sz w:val="20"/>
              </w:rPr>
              <w:t>20,0%</w:t>
            </w:r>
          </w:p>
        </w:tc>
        <w:tc>
          <w:tcPr>
            <w:tcW w:w="1084" w:type="dxa"/>
            <w:tcBorders>
              <w:top w:val="single" w:sz="4" w:space="0" w:color="auto"/>
              <w:left w:val="single" w:sz="4" w:space="0" w:color="auto"/>
              <w:bottom w:val="single" w:sz="4" w:space="0" w:color="auto"/>
              <w:right w:val="single" w:sz="4" w:space="0" w:color="auto"/>
            </w:tcBorders>
            <w:hideMark/>
          </w:tcPr>
          <w:p w14:paraId="32B65BC6" w14:textId="77777777" w:rsidR="00654CEB" w:rsidRPr="00654CEB" w:rsidRDefault="00654CEB">
            <w:pPr>
              <w:jc w:val="center"/>
              <w:rPr>
                <w:rFonts w:ascii="FS Elliot Pro" w:hAnsi="FS Elliot Pro"/>
                <w:sz w:val="20"/>
              </w:rPr>
            </w:pPr>
            <w:r w:rsidRPr="00654CEB">
              <w:rPr>
                <w:rFonts w:ascii="FS Elliot Pro" w:hAnsi="FS Elliot Pro"/>
                <w:sz w:val="20"/>
              </w:rPr>
              <w:t>38%</w:t>
            </w:r>
          </w:p>
        </w:tc>
        <w:tc>
          <w:tcPr>
            <w:tcW w:w="1305" w:type="dxa"/>
            <w:tcBorders>
              <w:top w:val="single" w:sz="4" w:space="0" w:color="auto"/>
              <w:left w:val="single" w:sz="4" w:space="0" w:color="auto"/>
              <w:bottom w:val="single" w:sz="4" w:space="0" w:color="auto"/>
              <w:right w:val="single" w:sz="4" w:space="0" w:color="auto"/>
            </w:tcBorders>
            <w:vAlign w:val="bottom"/>
            <w:hideMark/>
          </w:tcPr>
          <w:p w14:paraId="18EB7B39" w14:textId="77777777" w:rsidR="00654CEB" w:rsidRPr="00654CEB" w:rsidRDefault="00654CEB">
            <w:pPr>
              <w:jc w:val="center"/>
              <w:rPr>
                <w:rFonts w:ascii="FS Elliot Pro" w:hAnsi="FS Elliot Pro"/>
                <w:sz w:val="20"/>
              </w:rPr>
            </w:pPr>
            <w:r w:rsidRPr="00654CEB">
              <w:rPr>
                <w:rFonts w:ascii="FS Elliot Pro" w:hAnsi="FS Elliot Pro"/>
                <w:sz w:val="20"/>
              </w:rPr>
              <w:t>30,0%</w:t>
            </w:r>
          </w:p>
        </w:tc>
      </w:tr>
      <w:tr w:rsidR="00654CEB" w14:paraId="7F787341" w14:textId="77777777" w:rsidTr="00654CEB">
        <w:trPr>
          <w:trHeight w:val="255"/>
        </w:trPr>
        <w:tc>
          <w:tcPr>
            <w:tcW w:w="1441" w:type="dxa"/>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47D1BFD5" w14:textId="77777777" w:rsidR="00654CEB" w:rsidRPr="00654CEB" w:rsidRDefault="00654CEB">
            <w:pPr>
              <w:rPr>
                <w:rFonts w:ascii="FS Elliot Pro" w:hAnsi="FS Elliot Pro"/>
                <w:sz w:val="20"/>
              </w:rPr>
            </w:pPr>
            <w:r w:rsidRPr="00654CEB">
              <w:rPr>
                <w:rFonts w:ascii="FS Elliot Pro" w:hAnsi="FS Elliot Pro"/>
                <w:sz w:val="20"/>
              </w:rPr>
              <w:t>A+</w:t>
            </w:r>
          </w:p>
        </w:tc>
        <w:tc>
          <w:tcPr>
            <w:tcW w:w="1368" w:type="dxa"/>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54B9364E" w14:textId="77777777" w:rsidR="00654CEB" w:rsidRPr="00654CEB" w:rsidRDefault="00654CEB">
            <w:pPr>
              <w:jc w:val="center"/>
              <w:rPr>
                <w:rFonts w:ascii="FS Elliot Pro" w:hAnsi="FS Elliot Pro"/>
                <w:sz w:val="20"/>
              </w:rPr>
            </w:pPr>
            <w:r w:rsidRPr="00654CEB">
              <w:rPr>
                <w:rFonts w:ascii="FS Elliot Pro" w:hAnsi="FS Elliot Pro"/>
                <w:sz w:val="20"/>
              </w:rPr>
              <w:t>7,0%</w:t>
            </w:r>
          </w:p>
        </w:tc>
        <w:tc>
          <w:tcPr>
            <w:tcW w:w="1209" w:type="dxa"/>
            <w:tcBorders>
              <w:top w:val="single" w:sz="4" w:space="0" w:color="auto"/>
              <w:left w:val="single" w:sz="4" w:space="0" w:color="auto"/>
              <w:bottom w:val="single" w:sz="4" w:space="0" w:color="auto"/>
              <w:right w:val="single" w:sz="4" w:space="0" w:color="auto"/>
            </w:tcBorders>
            <w:shd w:val="clear" w:color="auto" w:fill="C0C0C0"/>
            <w:vAlign w:val="bottom"/>
            <w:hideMark/>
          </w:tcPr>
          <w:p w14:paraId="606525B3" w14:textId="77777777" w:rsidR="00654CEB" w:rsidRPr="00654CEB" w:rsidRDefault="00654CEB">
            <w:pPr>
              <w:jc w:val="center"/>
              <w:rPr>
                <w:rFonts w:ascii="FS Elliot Pro" w:hAnsi="FS Elliot Pro"/>
                <w:sz w:val="20"/>
              </w:rPr>
            </w:pPr>
            <w:r w:rsidRPr="00654CEB">
              <w:rPr>
                <w:rFonts w:ascii="FS Elliot Pro" w:hAnsi="FS Elliot Pro"/>
                <w:sz w:val="20"/>
              </w:rPr>
              <w:t>11,0%</w:t>
            </w:r>
          </w:p>
        </w:tc>
        <w:tc>
          <w:tcPr>
            <w:tcW w:w="1015" w:type="dxa"/>
            <w:tcBorders>
              <w:top w:val="single" w:sz="4" w:space="0" w:color="auto"/>
              <w:left w:val="single" w:sz="4" w:space="0" w:color="auto"/>
              <w:bottom w:val="single" w:sz="4" w:space="0" w:color="auto"/>
              <w:right w:val="single" w:sz="4" w:space="0" w:color="auto"/>
            </w:tcBorders>
            <w:shd w:val="clear" w:color="auto" w:fill="C0C0C0"/>
            <w:vAlign w:val="bottom"/>
            <w:hideMark/>
          </w:tcPr>
          <w:p w14:paraId="23643C4A" w14:textId="77777777" w:rsidR="00654CEB" w:rsidRPr="00654CEB" w:rsidRDefault="00654CEB">
            <w:pPr>
              <w:jc w:val="center"/>
              <w:rPr>
                <w:rFonts w:ascii="FS Elliot Pro" w:hAnsi="FS Elliot Pro"/>
                <w:sz w:val="20"/>
              </w:rPr>
            </w:pPr>
            <w:r w:rsidRPr="00654CEB">
              <w:rPr>
                <w:rFonts w:ascii="FS Elliot Pro" w:hAnsi="FS Elliot Pro"/>
                <w:sz w:val="20"/>
              </w:rPr>
              <w:t>14,0%</w:t>
            </w:r>
          </w:p>
        </w:tc>
        <w:tc>
          <w:tcPr>
            <w:tcW w:w="1084" w:type="dxa"/>
            <w:tcBorders>
              <w:top w:val="single" w:sz="4" w:space="0" w:color="auto"/>
              <w:left w:val="single" w:sz="4" w:space="0" w:color="auto"/>
              <w:bottom w:val="single" w:sz="4" w:space="0" w:color="auto"/>
              <w:right w:val="single" w:sz="4" w:space="0" w:color="auto"/>
            </w:tcBorders>
            <w:shd w:val="clear" w:color="auto" w:fill="C0C0C0"/>
          </w:tcPr>
          <w:p w14:paraId="5769AAD0" w14:textId="77777777" w:rsidR="00654CEB" w:rsidRPr="00654CEB" w:rsidRDefault="00654CEB">
            <w:pPr>
              <w:jc w:val="center"/>
              <w:rPr>
                <w:rFonts w:ascii="FS Elliot Pro" w:hAnsi="FS Elliot Pro"/>
                <w:sz w:val="20"/>
              </w:rPr>
            </w:pPr>
          </w:p>
        </w:tc>
        <w:tc>
          <w:tcPr>
            <w:tcW w:w="1305" w:type="dxa"/>
            <w:tcBorders>
              <w:top w:val="single" w:sz="4" w:space="0" w:color="auto"/>
              <w:left w:val="single" w:sz="4" w:space="0" w:color="auto"/>
              <w:bottom w:val="single" w:sz="4" w:space="0" w:color="auto"/>
              <w:right w:val="single" w:sz="4" w:space="0" w:color="auto"/>
            </w:tcBorders>
            <w:shd w:val="clear" w:color="auto" w:fill="C0C0C0"/>
            <w:vAlign w:val="bottom"/>
            <w:hideMark/>
          </w:tcPr>
          <w:p w14:paraId="0BCAD5CB" w14:textId="77777777" w:rsidR="00654CEB" w:rsidRPr="00654CEB" w:rsidRDefault="00654CEB">
            <w:pPr>
              <w:jc w:val="center"/>
              <w:rPr>
                <w:rFonts w:ascii="FS Elliot Pro" w:hAnsi="FS Elliot Pro"/>
                <w:sz w:val="20"/>
              </w:rPr>
            </w:pPr>
            <w:r w:rsidRPr="00654CEB">
              <w:rPr>
                <w:rFonts w:ascii="FS Elliot Pro" w:hAnsi="FS Elliot Pro"/>
                <w:sz w:val="20"/>
              </w:rPr>
              <w:t>21,0%</w:t>
            </w:r>
          </w:p>
        </w:tc>
      </w:tr>
      <w:tr w:rsidR="00654CEB" w14:paraId="4AB2B04A" w14:textId="77777777" w:rsidTr="00654CEB">
        <w:trPr>
          <w:trHeight w:val="255"/>
        </w:trPr>
        <w:tc>
          <w:tcPr>
            <w:tcW w:w="1441" w:type="dxa"/>
            <w:tcBorders>
              <w:top w:val="single" w:sz="4" w:space="0" w:color="auto"/>
              <w:left w:val="single" w:sz="4" w:space="0" w:color="auto"/>
              <w:bottom w:val="single" w:sz="4" w:space="0" w:color="auto"/>
              <w:right w:val="single" w:sz="4" w:space="0" w:color="auto"/>
            </w:tcBorders>
            <w:noWrap/>
            <w:vAlign w:val="bottom"/>
            <w:hideMark/>
          </w:tcPr>
          <w:p w14:paraId="4AEA92C0" w14:textId="77777777" w:rsidR="00654CEB" w:rsidRPr="00654CEB" w:rsidRDefault="00654CEB">
            <w:pPr>
              <w:rPr>
                <w:rFonts w:ascii="FS Elliot Pro" w:hAnsi="FS Elliot Pro"/>
                <w:sz w:val="20"/>
              </w:rPr>
            </w:pPr>
            <w:r w:rsidRPr="00654CEB">
              <w:rPr>
                <w:rFonts w:ascii="FS Elliot Pro" w:hAnsi="FS Elliot Pro"/>
                <w:sz w:val="20"/>
              </w:rPr>
              <w:t>A</w:t>
            </w:r>
          </w:p>
        </w:tc>
        <w:tc>
          <w:tcPr>
            <w:tcW w:w="1368" w:type="dxa"/>
            <w:tcBorders>
              <w:top w:val="single" w:sz="4" w:space="0" w:color="auto"/>
              <w:left w:val="single" w:sz="4" w:space="0" w:color="auto"/>
              <w:bottom w:val="single" w:sz="4" w:space="0" w:color="auto"/>
              <w:right w:val="single" w:sz="4" w:space="0" w:color="auto"/>
            </w:tcBorders>
            <w:noWrap/>
            <w:vAlign w:val="bottom"/>
            <w:hideMark/>
          </w:tcPr>
          <w:p w14:paraId="240CBF9F" w14:textId="77777777" w:rsidR="00654CEB" w:rsidRPr="00654CEB" w:rsidRDefault="00654CEB">
            <w:pPr>
              <w:jc w:val="center"/>
              <w:rPr>
                <w:rFonts w:ascii="FS Elliot Pro" w:hAnsi="FS Elliot Pro"/>
                <w:sz w:val="20"/>
              </w:rPr>
            </w:pPr>
            <w:r w:rsidRPr="00654CEB">
              <w:rPr>
                <w:rFonts w:ascii="FS Elliot Pro" w:hAnsi="FS Elliot Pro"/>
                <w:sz w:val="20"/>
              </w:rPr>
              <w:t>6,0%</w:t>
            </w:r>
          </w:p>
        </w:tc>
        <w:tc>
          <w:tcPr>
            <w:tcW w:w="1209" w:type="dxa"/>
            <w:tcBorders>
              <w:top w:val="single" w:sz="4" w:space="0" w:color="auto"/>
              <w:left w:val="single" w:sz="4" w:space="0" w:color="auto"/>
              <w:bottom w:val="single" w:sz="4" w:space="0" w:color="auto"/>
              <w:right w:val="single" w:sz="4" w:space="0" w:color="auto"/>
            </w:tcBorders>
            <w:vAlign w:val="bottom"/>
            <w:hideMark/>
          </w:tcPr>
          <w:p w14:paraId="181FF182" w14:textId="77777777" w:rsidR="00654CEB" w:rsidRPr="00654CEB" w:rsidRDefault="00654CEB">
            <w:pPr>
              <w:jc w:val="center"/>
              <w:rPr>
                <w:rFonts w:ascii="FS Elliot Pro" w:hAnsi="FS Elliot Pro"/>
                <w:sz w:val="20"/>
              </w:rPr>
            </w:pPr>
            <w:r w:rsidRPr="00654CEB">
              <w:rPr>
                <w:rFonts w:ascii="FS Elliot Pro" w:hAnsi="FS Elliot Pro"/>
                <w:sz w:val="20"/>
              </w:rPr>
              <w:t>9,0%</w:t>
            </w:r>
          </w:p>
        </w:tc>
        <w:tc>
          <w:tcPr>
            <w:tcW w:w="1015" w:type="dxa"/>
            <w:tcBorders>
              <w:top w:val="single" w:sz="4" w:space="0" w:color="auto"/>
              <w:left w:val="single" w:sz="4" w:space="0" w:color="auto"/>
              <w:bottom w:val="single" w:sz="4" w:space="0" w:color="auto"/>
              <w:right w:val="single" w:sz="4" w:space="0" w:color="auto"/>
            </w:tcBorders>
            <w:vAlign w:val="bottom"/>
            <w:hideMark/>
          </w:tcPr>
          <w:p w14:paraId="1C80CB4A" w14:textId="77777777" w:rsidR="00654CEB" w:rsidRPr="00654CEB" w:rsidRDefault="00654CEB">
            <w:pPr>
              <w:jc w:val="center"/>
              <w:rPr>
                <w:rFonts w:ascii="FS Elliot Pro" w:hAnsi="FS Elliot Pro"/>
                <w:sz w:val="20"/>
              </w:rPr>
            </w:pPr>
            <w:r w:rsidRPr="00654CEB">
              <w:rPr>
                <w:rFonts w:ascii="FS Elliot Pro" w:hAnsi="FS Elliot Pro"/>
                <w:sz w:val="20"/>
              </w:rPr>
              <w:t>12,0%</w:t>
            </w:r>
          </w:p>
        </w:tc>
        <w:tc>
          <w:tcPr>
            <w:tcW w:w="1084" w:type="dxa"/>
            <w:tcBorders>
              <w:top w:val="single" w:sz="4" w:space="0" w:color="auto"/>
              <w:left w:val="single" w:sz="4" w:space="0" w:color="auto"/>
              <w:bottom w:val="single" w:sz="4" w:space="0" w:color="auto"/>
              <w:right w:val="single" w:sz="4" w:space="0" w:color="auto"/>
            </w:tcBorders>
          </w:tcPr>
          <w:p w14:paraId="14039F2A" w14:textId="77777777" w:rsidR="00654CEB" w:rsidRPr="00654CEB" w:rsidRDefault="00654CEB">
            <w:pPr>
              <w:jc w:val="center"/>
              <w:rPr>
                <w:rFonts w:ascii="FS Elliot Pro" w:hAnsi="FS Elliot Pro"/>
                <w:sz w:val="20"/>
              </w:rPr>
            </w:pPr>
          </w:p>
        </w:tc>
        <w:tc>
          <w:tcPr>
            <w:tcW w:w="1305" w:type="dxa"/>
            <w:tcBorders>
              <w:top w:val="single" w:sz="4" w:space="0" w:color="auto"/>
              <w:left w:val="single" w:sz="4" w:space="0" w:color="auto"/>
              <w:bottom w:val="single" w:sz="4" w:space="0" w:color="auto"/>
              <w:right w:val="single" w:sz="4" w:space="0" w:color="auto"/>
            </w:tcBorders>
            <w:vAlign w:val="bottom"/>
            <w:hideMark/>
          </w:tcPr>
          <w:p w14:paraId="69FDDA75" w14:textId="77777777" w:rsidR="00654CEB" w:rsidRPr="00654CEB" w:rsidRDefault="00654CEB">
            <w:pPr>
              <w:jc w:val="center"/>
              <w:rPr>
                <w:rFonts w:ascii="FS Elliot Pro" w:hAnsi="FS Elliot Pro"/>
                <w:sz w:val="20"/>
              </w:rPr>
            </w:pPr>
            <w:r w:rsidRPr="00654CEB">
              <w:rPr>
                <w:rFonts w:ascii="FS Elliot Pro" w:hAnsi="FS Elliot Pro"/>
                <w:sz w:val="20"/>
              </w:rPr>
              <w:t>18,0%</w:t>
            </w:r>
          </w:p>
        </w:tc>
      </w:tr>
      <w:tr w:rsidR="00654CEB" w14:paraId="3BA6ED3D" w14:textId="77777777" w:rsidTr="00654CEB">
        <w:trPr>
          <w:trHeight w:val="255"/>
        </w:trPr>
        <w:tc>
          <w:tcPr>
            <w:tcW w:w="1441" w:type="dxa"/>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4421F567" w14:textId="77777777" w:rsidR="00654CEB" w:rsidRPr="00654CEB" w:rsidRDefault="00654CEB">
            <w:pPr>
              <w:rPr>
                <w:rFonts w:ascii="FS Elliot Pro" w:hAnsi="FS Elliot Pro"/>
                <w:sz w:val="20"/>
              </w:rPr>
            </w:pPr>
            <w:r w:rsidRPr="00654CEB">
              <w:rPr>
                <w:rFonts w:ascii="FS Elliot Pro" w:hAnsi="FS Elliot Pro"/>
                <w:sz w:val="20"/>
              </w:rPr>
              <w:t>A-</w:t>
            </w:r>
          </w:p>
        </w:tc>
        <w:tc>
          <w:tcPr>
            <w:tcW w:w="1368" w:type="dxa"/>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65D0472F" w14:textId="77777777" w:rsidR="00654CEB" w:rsidRPr="00654CEB" w:rsidRDefault="00654CEB">
            <w:pPr>
              <w:jc w:val="center"/>
              <w:rPr>
                <w:rFonts w:ascii="FS Elliot Pro" w:hAnsi="FS Elliot Pro"/>
                <w:sz w:val="20"/>
              </w:rPr>
            </w:pPr>
            <w:r w:rsidRPr="00654CEB">
              <w:rPr>
                <w:rFonts w:ascii="FS Elliot Pro" w:hAnsi="FS Elliot Pro"/>
                <w:sz w:val="20"/>
              </w:rPr>
              <w:t>4,0%</w:t>
            </w:r>
          </w:p>
        </w:tc>
        <w:tc>
          <w:tcPr>
            <w:tcW w:w="1209" w:type="dxa"/>
            <w:tcBorders>
              <w:top w:val="single" w:sz="4" w:space="0" w:color="auto"/>
              <w:left w:val="single" w:sz="4" w:space="0" w:color="auto"/>
              <w:bottom w:val="single" w:sz="4" w:space="0" w:color="auto"/>
              <w:right w:val="single" w:sz="4" w:space="0" w:color="auto"/>
            </w:tcBorders>
            <w:shd w:val="clear" w:color="auto" w:fill="C0C0C0"/>
            <w:vAlign w:val="bottom"/>
            <w:hideMark/>
          </w:tcPr>
          <w:p w14:paraId="0247BCF4" w14:textId="77777777" w:rsidR="00654CEB" w:rsidRPr="00654CEB" w:rsidRDefault="00654CEB">
            <w:pPr>
              <w:jc w:val="center"/>
              <w:rPr>
                <w:rFonts w:ascii="FS Elliot Pro" w:hAnsi="FS Elliot Pro"/>
                <w:sz w:val="20"/>
              </w:rPr>
            </w:pPr>
            <w:r w:rsidRPr="00654CEB">
              <w:rPr>
                <w:rFonts w:ascii="FS Elliot Pro" w:hAnsi="FS Elliot Pro"/>
                <w:sz w:val="20"/>
              </w:rPr>
              <w:t>6,0%</w:t>
            </w:r>
          </w:p>
        </w:tc>
        <w:tc>
          <w:tcPr>
            <w:tcW w:w="1015" w:type="dxa"/>
            <w:tcBorders>
              <w:top w:val="single" w:sz="4" w:space="0" w:color="auto"/>
              <w:left w:val="single" w:sz="4" w:space="0" w:color="auto"/>
              <w:bottom w:val="single" w:sz="4" w:space="0" w:color="auto"/>
              <w:right w:val="single" w:sz="4" w:space="0" w:color="auto"/>
            </w:tcBorders>
            <w:shd w:val="clear" w:color="auto" w:fill="C0C0C0"/>
            <w:vAlign w:val="bottom"/>
            <w:hideMark/>
          </w:tcPr>
          <w:p w14:paraId="15289F2E" w14:textId="77777777" w:rsidR="00654CEB" w:rsidRPr="00654CEB" w:rsidRDefault="00654CEB">
            <w:pPr>
              <w:jc w:val="center"/>
              <w:rPr>
                <w:rFonts w:ascii="FS Elliot Pro" w:hAnsi="FS Elliot Pro"/>
                <w:sz w:val="20"/>
              </w:rPr>
            </w:pPr>
            <w:r w:rsidRPr="00654CEB">
              <w:rPr>
                <w:rFonts w:ascii="FS Elliot Pro" w:hAnsi="FS Elliot Pro"/>
                <w:sz w:val="20"/>
              </w:rPr>
              <w:t>8,0%</w:t>
            </w:r>
          </w:p>
        </w:tc>
        <w:tc>
          <w:tcPr>
            <w:tcW w:w="1084" w:type="dxa"/>
            <w:tcBorders>
              <w:top w:val="single" w:sz="4" w:space="0" w:color="auto"/>
              <w:left w:val="single" w:sz="4" w:space="0" w:color="auto"/>
              <w:bottom w:val="single" w:sz="4" w:space="0" w:color="auto"/>
              <w:right w:val="single" w:sz="4" w:space="0" w:color="auto"/>
            </w:tcBorders>
            <w:shd w:val="clear" w:color="auto" w:fill="C0C0C0"/>
          </w:tcPr>
          <w:p w14:paraId="526F6694" w14:textId="77777777" w:rsidR="00654CEB" w:rsidRPr="00654CEB" w:rsidRDefault="00654CEB">
            <w:pPr>
              <w:jc w:val="center"/>
              <w:rPr>
                <w:rFonts w:ascii="FS Elliot Pro" w:hAnsi="FS Elliot Pro"/>
                <w:sz w:val="20"/>
              </w:rPr>
            </w:pPr>
          </w:p>
        </w:tc>
        <w:tc>
          <w:tcPr>
            <w:tcW w:w="1305" w:type="dxa"/>
            <w:tcBorders>
              <w:top w:val="single" w:sz="4" w:space="0" w:color="auto"/>
              <w:left w:val="single" w:sz="4" w:space="0" w:color="auto"/>
              <w:bottom w:val="single" w:sz="4" w:space="0" w:color="auto"/>
              <w:right w:val="single" w:sz="4" w:space="0" w:color="auto"/>
            </w:tcBorders>
            <w:shd w:val="clear" w:color="auto" w:fill="C0C0C0"/>
            <w:vAlign w:val="bottom"/>
            <w:hideMark/>
          </w:tcPr>
          <w:p w14:paraId="16BF1575" w14:textId="77777777" w:rsidR="00654CEB" w:rsidRPr="00654CEB" w:rsidRDefault="00654CEB">
            <w:pPr>
              <w:jc w:val="center"/>
              <w:rPr>
                <w:rFonts w:ascii="FS Elliot Pro" w:hAnsi="FS Elliot Pro"/>
                <w:sz w:val="20"/>
              </w:rPr>
            </w:pPr>
            <w:r w:rsidRPr="00654CEB">
              <w:rPr>
                <w:rFonts w:ascii="FS Elliot Pro" w:hAnsi="FS Elliot Pro"/>
                <w:sz w:val="20"/>
              </w:rPr>
              <w:t>12,0%</w:t>
            </w:r>
          </w:p>
        </w:tc>
      </w:tr>
      <w:tr w:rsidR="00654CEB" w14:paraId="0D9B5776" w14:textId="77777777" w:rsidTr="00654CEB">
        <w:trPr>
          <w:trHeight w:val="255"/>
        </w:trPr>
        <w:tc>
          <w:tcPr>
            <w:tcW w:w="1441" w:type="dxa"/>
            <w:tcBorders>
              <w:top w:val="single" w:sz="4" w:space="0" w:color="auto"/>
              <w:left w:val="single" w:sz="4" w:space="0" w:color="auto"/>
              <w:bottom w:val="single" w:sz="4" w:space="0" w:color="auto"/>
              <w:right w:val="single" w:sz="4" w:space="0" w:color="auto"/>
            </w:tcBorders>
            <w:noWrap/>
            <w:vAlign w:val="bottom"/>
            <w:hideMark/>
          </w:tcPr>
          <w:p w14:paraId="0DE81ECC" w14:textId="77777777" w:rsidR="00654CEB" w:rsidRPr="00654CEB" w:rsidRDefault="00654CEB">
            <w:pPr>
              <w:rPr>
                <w:rFonts w:ascii="FS Elliot Pro" w:hAnsi="FS Elliot Pro"/>
                <w:sz w:val="20"/>
              </w:rPr>
            </w:pPr>
            <w:r w:rsidRPr="00654CEB">
              <w:rPr>
                <w:rFonts w:ascii="FS Elliot Pro" w:hAnsi="FS Elliot Pro"/>
                <w:sz w:val="20"/>
              </w:rPr>
              <w:t>BBB a BBB+</w:t>
            </w:r>
          </w:p>
        </w:tc>
        <w:tc>
          <w:tcPr>
            <w:tcW w:w="1368" w:type="dxa"/>
            <w:tcBorders>
              <w:top w:val="single" w:sz="4" w:space="0" w:color="auto"/>
              <w:left w:val="single" w:sz="4" w:space="0" w:color="auto"/>
              <w:bottom w:val="single" w:sz="4" w:space="0" w:color="auto"/>
              <w:right w:val="single" w:sz="4" w:space="0" w:color="auto"/>
            </w:tcBorders>
            <w:noWrap/>
            <w:vAlign w:val="bottom"/>
            <w:hideMark/>
          </w:tcPr>
          <w:p w14:paraId="1CF21F39" w14:textId="77777777" w:rsidR="00654CEB" w:rsidRPr="00654CEB" w:rsidRDefault="00654CEB">
            <w:pPr>
              <w:jc w:val="center"/>
              <w:rPr>
                <w:rFonts w:ascii="FS Elliot Pro" w:hAnsi="FS Elliot Pro"/>
                <w:sz w:val="20"/>
              </w:rPr>
            </w:pPr>
            <w:r w:rsidRPr="00654CEB">
              <w:rPr>
                <w:rFonts w:ascii="FS Elliot Pro" w:hAnsi="FS Elliot Pro"/>
                <w:sz w:val="20"/>
              </w:rPr>
              <w:t>3,0%</w:t>
            </w:r>
          </w:p>
        </w:tc>
        <w:tc>
          <w:tcPr>
            <w:tcW w:w="1209" w:type="dxa"/>
            <w:tcBorders>
              <w:top w:val="single" w:sz="4" w:space="0" w:color="auto"/>
              <w:left w:val="single" w:sz="4" w:space="0" w:color="auto"/>
              <w:bottom w:val="single" w:sz="4" w:space="0" w:color="auto"/>
              <w:right w:val="single" w:sz="4" w:space="0" w:color="auto"/>
            </w:tcBorders>
            <w:vAlign w:val="bottom"/>
            <w:hideMark/>
          </w:tcPr>
          <w:p w14:paraId="0FA4A082" w14:textId="77777777" w:rsidR="00654CEB" w:rsidRPr="00654CEB" w:rsidRDefault="00654CEB">
            <w:pPr>
              <w:jc w:val="center"/>
              <w:rPr>
                <w:rFonts w:ascii="FS Elliot Pro" w:hAnsi="FS Elliot Pro"/>
                <w:sz w:val="20"/>
              </w:rPr>
            </w:pPr>
            <w:r w:rsidRPr="00654CEB">
              <w:rPr>
                <w:rFonts w:ascii="FS Elliot Pro" w:hAnsi="FS Elliot Pro"/>
                <w:sz w:val="20"/>
              </w:rPr>
              <w:t>5,0%</w:t>
            </w:r>
          </w:p>
        </w:tc>
        <w:tc>
          <w:tcPr>
            <w:tcW w:w="1015" w:type="dxa"/>
            <w:tcBorders>
              <w:top w:val="single" w:sz="4" w:space="0" w:color="auto"/>
              <w:left w:val="single" w:sz="4" w:space="0" w:color="auto"/>
              <w:bottom w:val="single" w:sz="4" w:space="0" w:color="auto"/>
              <w:right w:val="single" w:sz="4" w:space="0" w:color="auto"/>
            </w:tcBorders>
            <w:vAlign w:val="bottom"/>
            <w:hideMark/>
          </w:tcPr>
          <w:p w14:paraId="39AE43B0" w14:textId="77777777" w:rsidR="00654CEB" w:rsidRPr="00654CEB" w:rsidRDefault="00654CEB">
            <w:pPr>
              <w:jc w:val="center"/>
              <w:rPr>
                <w:rFonts w:ascii="FS Elliot Pro" w:hAnsi="FS Elliot Pro"/>
                <w:sz w:val="20"/>
              </w:rPr>
            </w:pPr>
            <w:r w:rsidRPr="00654CEB">
              <w:rPr>
                <w:rFonts w:ascii="FS Elliot Pro" w:hAnsi="FS Elliot Pro"/>
                <w:sz w:val="20"/>
              </w:rPr>
              <w:t>5,0%</w:t>
            </w:r>
          </w:p>
        </w:tc>
        <w:tc>
          <w:tcPr>
            <w:tcW w:w="1084" w:type="dxa"/>
            <w:tcBorders>
              <w:top w:val="single" w:sz="4" w:space="0" w:color="auto"/>
              <w:left w:val="single" w:sz="4" w:space="0" w:color="auto"/>
              <w:bottom w:val="single" w:sz="4" w:space="0" w:color="auto"/>
              <w:right w:val="single" w:sz="4" w:space="0" w:color="auto"/>
            </w:tcBorders>
          </w:tcPr>
          <w:p w14:paraId="6D679412" w14:textId="77777777" w:rsidR="00654CEB" w:rsidRPr="00654CEB" w:rsidRDefault="00654CEB">
            <w:pPr>
              <w:jc w:val="center"/>
              <w:rPr>
                <w:rFonts w:ascii="FS Elliot Pro" w:hAnsi="FS Elliot Pro"/>
                <w:sz w:val="20"/>
              </w:rPr>
            </w:pPr>
          </w:p>
        </w:tc>
        <w:tc>
          <w:tcPr>
            <w:tcW w:w="1305" w:type="dxa"/>
            <w:tcBorders>
              <w:top w:val="single" w:sz="4" w:space="0" w:color="auto"/>
              <w:left w:val="single" w:sz="4" w:space="0" w:color="auto"/>
              <w:bottom w:val="single" w:sz="4" w:space="0" w:color="auto"/>
              <w:right w:val="single" w:sz="4" w:space="0" w:color="auto"/>
            </w:tcBorders>
            <w:vAlign w:val="bottom"/>
            <w:hideMark/>
          </w:tcPr>
          <w:p w14:paraId="39A86E46" w14:textId="77777777" w:rsidR="00654CEB" w:rsidRPr="00654CEB" w:rsidRDefault="00654CEB">
            <w:pPr>
              <w:jc w:val="center"/>
              <w:rPr>
                <w:rFonts w:ascii="FS Elliot Pro" w:hAnsi="FS Elliot Pro"/>
                <w:sz w:val="20"/>
              </w:rPr>
            </w:pPr>
            <w:r w:rsidRPr="00654CEB">
              <w:rPr>
                <w:rFonts w:ascii="FS Elliot Pro" w:hAnsi="FS Elliot Pro"/>
                <w:sz w:val="20"/>
              </w:rPr>
              <w:t>5,0%</w:t>
            </w:r>
          </w:p>
        </w:tc>
      </w:tr>
      <w:tr w:rsidR="00654CEB" w14:paraId="7459B81B" w14:textId="77777777" w:rsidTr="00654CEB">
        <w:trPr>
          <w:trHeight w:val="255"/>
        </w:trPr>
        <w:tc>
          <w:tcPr>
            <w:tcW w:w="1441" w:type="dxa"/>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1B771027" w14:textId="77777777" w:rsidR="00654CEB" w:rsidRPr="00654CEB" w:rsidRDefault="00654CEB">
            <w:pPr>
              <w:rPr>
                <w:rFonts w:ascii="FS Elliot Pro" w:hAnsi="FS Elliot Pro"/>
                <w:sz w:val="20"/>
              </w:rPr>
            </w:pPr>
            <w:r w:rsidRPr="00654CEB">
              <w:rPr>
                <w:rFonts w:ascii="FS Elliot Pro" w:hAnsi="FS Elliot Pro"/>
                <w:sz w:val="20"/>
              </w:rPr>
              <w:t>BBB-</w:t>
            </w:r>
          </w:p>
        </w:tc>
        <w:tc>
          <w:tcPr>
            <w:tcW w:w="1368" w:type="dxa"/>
            <w:tcBorders>
              <w:top w:val="single" w:sz="4" w:space="0" w:color="auto"/>
              <w:left w:val="single" w:sz="4" w:space="0" w:color="auto"/>
              <w:bottom w:val="single" w:sz="4" w:space="0" w:color="auto"/>
              <w:right w:val="single" w:sz="4" w:space="0" w:color="auto"/>
            </w:tcBorders>
            <w:shd w:val="clear" w:color="auto" w:fill="C0C0C0"/>
            <w:noWrap/>
            <w:vAlign w:val="bottom"/>
            <w:hideMark/>
          </w:tcPr>
          <w:p w14:paraId="41B36A2E" w14:textId="77777777" w:rsidR="00654CEB" w:rsidRPr="00654CEB" w:rsidRDefault="00654CEB">
            <w:pPr>
              <w:jc w:val="center"/>
              <w:rPr>
                <w:rFonts w:ascii="FS Elliot Pro" w:hAnsi="FS Elliot Pro"/>
                <w:sz w:val="20"/>
              </w:rPr>
            </w:pPr>
            <w:r w:rsidRPr="00654CEB">
              <w:rPr>
                <w:rFonts w:ascii="FS Elliot Pro" w:hAnsi="FS Elliot Pro"/>
                <w:sz w:val="20"/>
              </w:rPr>
              <w:t>2,0%</w:t>
            </w:r>
          </w:p>
        </w:tc>
        <w:tc>
          <w:tcPr>
            <w:tcW w:w="1209" w:type="dxa"/>
            <w:tcBorders>
              <w:top w:val="single" w:sz="4" w:space="0" w:color="auto"/>
              <w:left w:val="single" w:sz="4" w:space="0" w:color="auto"/>
              <w:bottom w:val="single" w:sz="4" w:space="0" w:color="auto"/>
              <w:right w:val="single" w:sz="4" w:space="0" w:color="auto"/>
            </w:tcBorders>
            <w:shd w:val="clear" w:color="auto" w:fill="C0C0C0"/>
            <w:vAlign w:val="bottom"/>
            <w:hideMark/>
          </w:tcPr>
          <w:p w14:paraId="1AFD4187" w14:textId="77777777" w:rsidR="00654CEB" w:rsidRPr="00654CEB" w:rsidRDefault="00654CEB">
            <w:pPr>
              <w:jc w:val="center"/>
              <w:rPr>
                <w:rFonts w:ascii="FS Elliot Pro" w:hAnsi="FS Elliot Pro"/>
                <w:sz w:val="20"/>
              </w:rPr>
            </w:pPr>
            <w:r w:rsidRPr="00654CEB">
              <w:rPr>
                <w:rFonts w:ascii="FS Elliot Pro" w:hAnsi="FS Elliot Pro"/>
                <w:sz w:val="20"/>
              </w:rPr>
              <w:t>3,0%</w:t>
            </w:r>
          </w:p>
        </w:tc>
        <w:tc>
          <w:tcPr>
            <w:tcW w:w="1015" w:type="dxa"/>
            <w:tcBorders>
              <w:top w:val="single" w:sz="4" w:space="0" w:color="auto"/>
              <w:left w:val="single" w:sz="4" w:space="0" w:color="auto"/>
              <w:bottom w:val="single" w:sz="4" w:space="0" w:color="auto"/>
              <w:right w:val="single" w:sz="4" w:space="0" w:color="auto"/>
            </w:tcBorders>
            <w:shd w:val="clear" w:color="auto" w:fill="C0C0C0"/>
            <w:vAlign w:val="bottom"/>
            <w:hideMark/>
          </w:tcPr>
          <w:p w14:paraId="00C79138" w14:textId="77777777" w:rsidR="00654CEB" w:rsidRPr="00654CEB" w:rsidRDefault="00654CEB">
            <w:pPr>
              <w:jc w:val="center"/>
              <w:rPr>
                <w:rFonts w:ascii="FS Elliot Pro" w:hAnsi="FS Elliot Pro"/>
                <w:sz w:val="20"/>
              </w:rPr>
            </w:pPr>
            <w:r w:rsidRPr="00654CEB">
              <w:rPr>
                <w:rFonts w:ascii="FS Elliot Pro" w:hAnsi="FS Elliot Pro"/>
                <w:sz w:val="20"/>
              </w:rPr>
              <w:t>3,0%</w:t>
            </w:r>
          </w:p>
        </w:tc>
        <w:tc>
          <w:tcPr>
            <w:tcW w:w="1084" w:type="dxa"/>
            <w:tcBorders>
              <w:top w:val="single" w:sz="4" w:space="0" w:color="auto"/>
              <w:left w:val="single" w:sz="4" w:space="0" w:color="auto"/>
              <w:bottom w:val="single" w:sz="4" w:space="0" w:color="auto"/>
              <w:right w:val="single" w:sz="4" w:space="0" w:color="auto"/>
            </w:tcBorders>
            <w:shd w:val="clear" w:color="auto" w:fill="C0C0C0"/>
          </w:tcPr>
          <w:p w14:paraId="031AB52A" w14:textId="77777777" w:rsidR="00654CEB" w:rsidRPr="00654CEB" w:rsidRDefault="00654CEB">
            <w:pPr>
              <w:jc w:val="center"/>
              <w:rPr>
                <w:rFonts w:ascii="FS Elliot Pro" w:hAnsi="FS Elliot Pro"/>
                <w:sz w:val="20"/>
              </w:rPr>
            </w:pPr>
          </w:p>
        </w:tc>
        <w:tc>
          <w:tcPr>
            <w:tcW w:w="1305" w:type="dxa"/>
            <w:tcBorders>
              <w:top w:val="single" w:sz="4" w:space="0" w:color="auto"/>
              <w:left w:val="single" w:sz="4" w:space="0" w:color="auto"/>
              <w:bottom w:val="single" w:sz="4" w:space="0" w:color="auto"/>
              <w:right w:val="single" w:sz="4" w:space="0" w:color="auto"/>
            </w:tcBorders>
            <w:shd w:val="clear" w:color="auto" w:fill="C0C0C0"/>
            <w:vAlign w:val="bottom"/>
            <w:hideMark/>
          </w:tcPr>
          <w:p w14:paraId="32A4B8FE" w14:textId="77777777" w:rsidR="00654CEB" w:rsidRPr="00654CEB" w:rsidRDefault="00654CEB">
            <w:pPr>
              <w:jc w:val="center"/>
              <w:rPr>
                <w:rFonts w:ascii="FS Elliot Pro" w:hAnsi="FS Elliot Pro"/>
                <w:sz w:val="20"/>
              </w:rPr>
            </w:pPr>
            <w:r w:rsidRPr="00654CEB">
              <w:rPr>
                <w:rFonts w:ascii="FS Elliot Pro" w:hAnsi="FS Elliot Pro"/>
                <w:sz w:val="20"/>
              </w:rPr>
              <w:t>3,0%</w:t>
            </w:r>
          </w:p>
        </w:tc>
      </w:tr>
      <w:tr w:rsidR="00654CEB" w14:paraId="71581195" w14:textId="77777777" w:rsidTr="00654CEB">
        <w:trPr>
          <w:trHeight w:val="270"/>
        </w:trPr>
        <w:tc>
          <w:tcPr>
            <w:tcW w:w="1441" w:type="dxa"/>
            <w:tcBorders>
              <w:top w:val="single" w:sz="4" w:space="0" w:color="auto"/>
              <w:left w:val="single" w:sz="4" w:space="0" w:color="auto"/>
              <w:bottom w:val="single" w:sz="4" w:space="0" w:color="auto"/>
              <w:right w:val="single" w:sz="4" w:space="0" w:color="auto"/>
            </w:tcBorders>
            <w:noWrap/>
            <w:vAlign w:val="bottom"/>
            <w:hideMark/>
          </w:tcPr>
          <w:p w14:paraId="30F8CE78" w14:textId="77777777" w:rsidR="00654CEB" w:rsidRPr="00654CEB" w:rsidRDefault="00654CEB">
            <w:pPr>
              <w:rPr>
                <w:rFonts w:ascii="FS Elliot Pro" w:hAnsi="FS Elliot Pro"/>
                <w:sz w:val="20"/>
              </w:rPr>
            </w:pPr>
            <w:r w:rsidRPr="00654CEB">
              <w:rPr>
                <w:rFonts w:ascii="FS Elliot Pro" w:hAnsi="FS Elliot Pro"/>
                <w:sz w:val="20"/>
              </w:rPr>
              <w:t>BB+ o inferior</w:t>
            </w:r>
          </w:p>
        </w:tc>
        <w:tc>
          <w:tcPr>
            <w:tcW w:w="1368" w:type="dxa"/>
            <w:tcBorders>
              <w:top w:val="single" w:sz="4" w:space="0" w:color="auto"/>
              <w:left w:val="single" w:sz="4" w:space="0" w:color="auto"/>
              <w:bottom w:val="single" w:sz="4" w:space="0" w:color="auto"/>
              <w:right w:val="single" w:sz="4" w:space="0" w:color="auto"/>
            </w:tcBorders>
            <w:noWrap/>
            <w:vAlign w:val="bottom"/>
            <w:hideMark/>
          </w:tcPr>
          <w:p w14:paraId="5415ADFB" w14:textId="77777777" w:rsidR="00654CEB" w:rsidRPr="00654CEB" w:rsidRDefault="00654CEB">
            <w:pPr>
              <w:jc w:val="center"/>
              <w:rPr>
                <w:rFonts w:ascii="FS Elliot Pro" w:hAnsi="FS Elliot Pro"/>
                <w:sz w:val="20"/>
              </w:rPr>
            </w:pPr>
            <w:r w:rsidRPr="00654CEB">
              <w:rPr>
                <w:rFonts w:ascii="FS Elliot Pro" w:hAnsi="FS Elliot Pro"/>
                <w:sz w:val="20"/>
              </w:rPr>
              <w:t>1,0%</w:t>
            </w:r>
          </w:p>
        </w:tc>
        <w:tc>
          <w:tcPr>
            <w:tcW w:w="1209" w:type="dxa"/>
            <w:tcBorders>
              <w:top w:val="single" w:sz="4" w:space="0" w:color="auto"/>
              <w:left w:val="single" w:sz="4" w:space="0" w:color="auto"/>
              <w:bottom w:val="single" w:sz="4" w:space="0" w:color="auto"/>
              <w:right w:val="single" w:sz="4" w:space="0" w:color="auto"/>
            </w:tcBorders>
            <w:vAlign w:val="bottom"/>
            <w:hideMark/>
          </w:tcPr>
          <w:p w14:paraId="5EC04E99" w14:textId="77777777" w:rsidR="00654CEB" w:rsidRPr="00654CEB" w:rsidRDefault="00654CEB">
            <w:pPr>
              <w:jc w:val="center"/>
              <w:rPr>
                <w:rFonts w:ascii="FS Elliot Pro" w:hAnsi="FS Elliot Pro"/>
                <w:sz w:val="20"/>
              </w:rPr>
            </w:pPr>
            <w:r w:rsidRPr="00654CEB">
              <w:rPr>
                <w:rFonts w:ascii="FS Elliot Pro" w:hAnsi="FS Elliot Pro"/>
                <w:sz w:val="20"/>
              </w:rPr>
              <w:t>1,5%</w:t>
            </w:r>
          </w:p>
        </w:tc>
        <w:tc>
          <w:tcPr>
            <w:tcW w:w="1015" w:type="dxa"/>
            <w:tcBorders>
              <w:top w:val="single" w:sz="4" w:space="0" w:color="auto"/>
              <w:left w:val="single" w:sz="4" w:space="0" w:color="auto"/>
              <w:bottom w:val="single" w:sz="4" w:space="0" w:color="auto"/>
              <w:right w:val="single" w:sz="4" w:space="0" w:color="auto"/>
            </w:tcBorders>
            <w:vAlign w:val="bottom"/>
            <w:hideMark/>
          </w:tcPr>
          <w:p w14:paraId="12942A50" w14:textId="77777777" w:rsidR="00654CEB" w:rsidRPr="00654CEB" w:rsidRDefault="00654CEB">
            <w:pPr>
              <w:jc w:val="center"/>
              <w:rPr>
                <w:rFonts w:ascii="FS Elliot Pro" w:hAnsi="FS Elliot Pro"/>
                <w:sz w:val="20"/>
              </w:rPr>
            </w:pPr>
            <w:r w:rsidRPr="00654CEB">
              <w:rPr>
                <w:rFonts w:ascii="FS Elliot Pro" w:hAnsi="FS Elliot Pro"/>
                <w:sz w:val="20"/>
              </w:rPr>
              <w:t>1,5%</w:t>
            </w:r>
          </w:p>
        </w:tc>
        <w:tc>
          <w:tcPr>
            <w:tcW w:w="1084" w:type="dxa"/>
            <w:tcBorders>
              <w:top w:val="single" w:sz="4" w:space="0" w:color="auto"/>
              <w:left w:val="single" w:sz="4" w:space="0" w:color="auto"/>
              <w:bottom w:val="single" w:sz="4" w:space="0" w:color="auto"/>
              <w:right w:val="single" w:sz="4" w:space="0" w:color="auto"/>
            </w:tcBorders>
          </w:tcPr>
          <w:p w14:paraId="5927F3A9" w14:textId="77777777" w:rsidR="00654CEB" w:rsidRPr="00654CEB" w:rsidRDefault="00654CEB">
            <w:pPr>
              <w:jc w:val="center"/>
              <w:rPr>
                <w:rFonts w:ascii="FS Elliot Pro" w:hAnsi="FS Elliot Pro"/>
                <w:sz w:val="20"/>
              </w:rPr>
            </w:pPr>
          </w:p>
        </w:tc>
        <w:tc>
          <w:tcPr>
            <w:tcW w:w="1305" w:type="dxa"/>
            <w:tcBorders>
              <w:top w:val="single" w:sz="4" w:space="0" w:color="auto"/>
              <w:left w:val="single" w:sz="4" w:space="0" w:color="auto"/>
              <w:bottom w:val="single" w:sz="4" w:space="0" w:color="auto"/>
              <w:right w:val="single" w:sz="4" w:space="0" w:color="auto"/>
            </w:tcBorders>
            <w:vAlign w:val="bottom"/>
            <w:hideMark/>
          </w:tcPr>
          <w:p w14:paraId="6CBB87DD" w14:textId="77777777" w:rsidR="00654CEB" w:rsidRPr="00654CEB" w:rsidRDefault="00654CEB">
            <w:pPr>
              <w:jc w:val="center"/>
              <w:rPr>
                <w:rFonts w:ascii="FS Elliot Pro" w:hAnsi="FS Elliot Pro"/>
                <w:sz w:val="20"/>
              </w:rPr>
            </w:pPr>
            <w:r w:rsidRPr="00654CEB">
              <w:rPr>
                <w:rFonts w:ascii="FS Elliot Pro" w:hAnsi="FS Elliot Pro"/>
                <w:sz w:val="20"/>
              </w:rPr>
              <w:t>1,5%</w:t>
            </w:r>
          </w:p>
        </w:tc>
      </w:tr>
    </w:tbl>
    <w:p w14:paraId="5AA77B56" w14:textId="62DA898F" w:rsidR="00654CEB" w:rsidRDefault="00654CEB" w:rsidP="00654CEB">
      <w:pPr>
        <w:jc w:val="both"/>
        <w:rPr>
          <w:rFonts w:ascii="FS Elliot Pro" w:hAnsi="FS Elliot Pro"/>
          <w:szCs w:val="28"/>
        </w:rPr>
      </w:pPr>
    </w:p>
    <w:p w14:paraId="74DC285C" w14:textId="3D054377" w:rsidR="00E03DDF" w:rsidRDefault="00E03DDF" w:rsidP="00654CEB">
      <w:pPr>
        <w:jc w:val="both"/>
        <w:rPr>
          <w:rFonts w:ascii="FS Elliot Pro" w:hAnsi="FS Elliot Pro"/>
          <w:szCs w:val="28"/>
        </w:rPr>
      </w:pPr>
    </w:p>
    <w:p w14:paraId="0DF9F165" w14:textId="77777777" w:rsidR="00E03DDF" w:rsidRDefault="00E03DDF" w:rsidP="00654CEB">
      <w:pPr>
        <w:jc w:val="both"/>
        <w:rPr>
          <w:rFonts w:ascii="FS Elliot Pro" w:hAnsi="FS Elliot Pro"/>
          <w:szCs w:val="28"/>
        </w:rPr>
      </w:pPr>
    </w:p>
    <w:tbl>
      <w:tblPr>
        <w:tblStyle w:val="Tablaconcuadrcula"/>
        <w:tblW w:w="0" w:type="auto"/>
        <w:tblInd w:w="1428" w:type="dxa"/>
        <w:tblLook w:val="04A0" w:firstRow="1" w:lastRow="0" w:firstColumn="1" w:lastColumn="0" w:noHBand="0" w:noVBand="1"/>
      </w:tblPr>
      <w:tblGrid>
        <w:gridCol w:w="3658"/>
        <w:gridCol w:w="3742"/>
      </w:tblGrid>
      <w:tr w:rsidR="00654CEB" w14:paraId="73F983ED" w14:textId="77777777" w:rsidTr="00654CEB">
        <w:tc>
          <w:tcPr>
            <w:tcW w:w="4414" w:type="dxa"/>
            <w:tcBorders>
              <w:top w:val="single" w:sz="4" w:space="0" w:color="auto"/>
              <w:left w:val="single" w:sz="4" w:space="0" w:color="auto"/>
              <w:bottom w:val="single" w:sz="4" w:space="0" w:color="auto"/>
              <w:right w:val="single" w:sz="4" w:space="0" w:color="auto"/>
            </w:tcBorders>
            <w:hideMark/>
          </w:tcPr>
          <w:p w14:paraId="663375F8" w14:textId="77777777" w:rsidR="00654CEB" w:rsidRPr="00654CEB" w:rsidRDefault="00654CEB">
            <w:pPr>
              <w:pStyle w:val="Default"/>
              <w:jc w:val="both"/>
              <w:rPr>
                <w:rFonts w:ascii="FS Elliot Pro" w:hAnsi="FS Elliot Pro"/>
                <w:color w:val="auto"/>
                <w:sz w:val="20"/>
                <w:szCs w:val="18"/>
              </w:rPr>
            </w:pPr>
            <w:r w:rsidRPr="00654CEB">
              <w:rPr>
                <w:rFonts w:ascii="FS Elliot Pro" w:hAnsi="FS Elliot Pro"/>
                <w:color w:val="auto"/>
                <w:sz w:val="20"/>
                <w:szCs w:val="18"/>
              </w:rPr>
              <w:t>Bancos (1)</w:t>
            </w:r>
          </w:p>
        </w:tc>
        <w:tc>
          <w:tcPr>
            <w:tcW w:w="4414" w:type="dxa"/>
            <w:tcBorders>
              <w:top w:val="single" w:sz="4" w:space="0" w:color="auto"/>
              <w:left w:val="single" w:sz="4" w:space="0" w:color="auto"/>
              <w:bottom w:val="single" w:sz="4" w:space="0" w:color="auto"/>
              <w:right w:val="single" w:sz="4" w:space="0" w:color="auto"/>
            </w:tcBorders>
            <w:hideMark/>
          </w:tcPr>
          <w:p w14:paraId="5F41A23A" w14:textId="77777777" w:rsidR="00654CEB" w:rsidRPr="00654CEB" w:rsidRDefault="00654CEB">
            <w:pPr>
              <w:pStyle w:val="Default"/>
              <w:jc w:val="both"/>
              <w:rPr>
                <w:rFonts w:ascii="FS Elliot Pro" w:hAnsi="FS Elliot Pro"/>
                <w:color w:val="auto"/>
                <w:sz w:val="20"/>
                <w:szCs w:val="18"/>
              </w:rPr>
            </w:pPr>
            <w:r w:rsidRPr="00654CEB">
              <w:rPr>
                <w:rFonts w:ascii="FS Elliot Pro" w:hAnsi="FS Elliot Pro"/>
                <w:color w:val="auto"/>
                <w:sz w:val="20"/>
                <w:szCs w:val="18"/>
              </w:rPr>
              <w:t>Bancos no incluidos en (2) ni en (3).</w:t>
            </w:r>
          </w:p>
        </w:tc>
      </w:tr>
      <w:tr w:rsidR="00654CEB" w14:paraId="5E56F018" w14:textId="77777777" w:rsidTr="00654CEB">
        <w:tc>
          <w:tcPr>
            <w:tcW w:w="4414" w:type="dxa"/>
            <w:tcBorders>
              <w:top w:val="single" w:sz="4" w:space="0" w:color="auto"/>
              <w:left w:val="single" w:sz="4" w:space="0" w:color="auto"/>
              <w:bottom w:val="single" w:sz="4" w:space="0" w:color="auto"/>
              <w:right w:val="single" w:sz="4" w:space="0" w:color="auto"/>
            </w:tcBorders>
            <w:hideMark/>
          </w:tcPr>
          <w:p w14:paraId="46471AC7" w14:textId="77777777" w:rsidR="00654CEB" w:rsidRPr="00654CEB" w:rsidRDefault="00654CEB">
            <w:pPr>
              <w:pStyle w:val="Default"/>
              <w:jc w:val="both"/>
              <w:rPr>
                <w:rFonts w:ascii="FS Elliot Pro" w:hAnsi="FS Elliot Pro"/>
                <w:color w:val="auto"/>
                <w:sz w:val="20"/>
                <w:szCs w:val="18"/>
              </w:rPr>
            </w:pPr>
            <w:r w:rsidRPr="00654CEB">
              <w:rPr>
                <w:rFonts w:ascii="FS Elliot Pro" w:hAnsi="FS Elliot Pro"/>
                <w:color w:val="auto"/>
                <w:sz w:val="20"/>
                <w:szCs w:val="18"/>
              </w:rPr>
              <w:t>Bancos (2)</w:t>
            </w:r>
          </w:p>
        </w:tc>
        <w:tc>
          <w:tcPr>
            <w:tcW w:w="4414" w:type="dxa"/>
            <w:tcBorders>
              <w:top w:val="single" w:sz="4" w:space="0" w:color="auto"/>
              <w:left w:val="single" w:sz="4" w:space="0" w:color="auto"/>
              <w:bottom w:val="single" w:sz="4" w:space="0" w:color="auto"/>
              <w:right w:val="single" w:sz="4" w:space="0" w:color="auto"/>
            </w:tcBorders>
            <w:hideMark/>
          </w:tcPr>
          <w:p w14:paraId="30DB0B8D" w14:textId="77777777" w:rsidR="00654CEB" w:rsidRPr="00654CEB" w:rsidRDefault="00654CEB">
            <w:pPr>
              <w:pStyle w:val="Default"/>
              <w:jc w:val="both"/>
              <w:rPr>
                <w:rFonts w:ascii="FS Elliot Pro" w:hAnsi="FS Elliot Pro"/>
                <w:color w:val="auto"/>
                <w:sz w:val="20"/>
                <w:szCs w:val="18"/>
              </w:rPr>
            </w:pPr>
            <w:r w:rsidRPr="00654CEB">
              <w:rPr>
                <w:rFonts w:ascii="FS Elliot Pro" w:hAnsi="FS Elliot Pro"/>
                <w:color w:val="auto"/>
                <w:sz w:val="20"/>
                <w:szCs w:val="18"/>
              </w:rPr>
              <w:t>Banco Crédito e Inversiones, Banco de Chile, Banco Estado, Banco Santander.</w:t>
            </w:r>
          </w:p>
        </w:tc>
      </w:tr>
      <w:tr w:rsidR="00654CEB" w14:paraId="45C6F2F2" w14:textId="77777777" w:rsidTr="00654CEB">
        <w:tc>
          <w:tcPr>
            <w:tcW w:w="4414" w:type="dxa"/>
            <w:tcBorders>
              <w:top w:val="single" w:sz="4" w:space="0" w:color="auto"/>
              <w:left w:val="single" w:sz="4" w:space="0" w:color="auto"/>
              <w:bottom w:val="single" w:sz="4" w:space="0" w:color="auto"/>
              <w:right w:val="single" w:sz="4" w:space="0" w:color="auto"/>
            </w:tcBorders>
            <w:hideMark/>
          </w:tcPr>
          <w:p w14:paraId="4845BAAF" w14:textId="77777777" w:rsidR="00654CEB" w:rsidRPr="00654CEB" w:rsidRDefault="00654CEB">
            <w:pPr>
              <w:pStyle w:val="Default"/>
              <w:jc w:val="both"/>
              <w:rPr>
                <w:rFonts w:ascii="FS Elliot Pro" w:hAnsi="FS Elliot Pro"/>
                <w:color w:val="auto"/>
                <w:sz w:val="20"/>
                <w:szCs w:val="18"/>
              </w:rPr>
            </w:pPr>
            <w:r w:rsidRPr="00654CEB">
              <w:rPr>
                <w:rFonts w:ascii="FS Elliot Pro" w:hAnsi="FS Elliot Pro"/>
                <w:color w:val="auto"/>
                <w:sz w:val="20"/>
                <w:szCs w:val="18"/>
              </w:rPr>
              <w:t>Bancos (3)</w:t>
            </w:r>
          </w:p>
        </w:tc>
        <w:tc>
          <w:tcPr>
            <w:tcW w:w="4414" w:type="dxa"/>
            <w:tcBorders>
              <w:top w:val="single" w:sz="4" w:space="0" w:color="auto"/>
              <w:left w:val="single" w:sz="4" w:space="0" w:color="auto"/>
              <w:bottom w:val="single" w:sz="4" w:space="0" w:color="auto"/>
              <w:right w:val="single" w:sz="4" w:space="0" w:color="auto"/>
            </w:tcBorders>
            <w:hideMark/>
          </w:tcPr>
          <w:p w14:paraId="3617AFFB" w14:textId="477B99A3" w:rsidR="00654CEB" w:rsidRPr="00654CEB" w:rsidRDefault="00654CEB">
            <w:pPr>
              <w:pStyle w:val="Default"/>
              <w:jc w:val="both"/>
              <w:rPr>
                <w:rFonts w:ascii="FS Elliot Pro" w:hAnsi="FS Elliot Pro"/>
                <w:color w:val="auto"/>
                <w:sz w:val="20"/>
                <w:szCs w:val="18"/>
              </w:rPr>
            </w:pPr>
            <w:r w:rsidRPr="00654CEB">
              <w:rPr>
                <w:rFonts w:ascii="FS Elliot Pro" w:hAnsi="FS Elliot Pro"/>
                <w:color w:val="auto"/>
                <w:sz w:val="20"/>
                <w:szCs w:val="18"/>
              </w:rPr>
              <w:t>Banco Itau Corpbanca</w:t>
            </w:r>
            <w:r w:rsidR="00C55B76">
              <w:rPr>
                <w:rFonts w:ascii="FS Elliot Pro" w:hAnsi="FS Elliot Pro"/>
                <w:color w:val="auto"/>
                <w:sz w:val="20"/>
                <w:szCs w:val="18"/>
              </w:rPr>
              <w:t>, Banco Scotiabank.</w:t>
            </w:r>
          </w:p>
        </w:tc>
      </w:tr>
    </w:tbl>
    <w:p w14:paraId="7C6301AE" w14:textId="77777777" w:rsidR="00654CEB" w:rsidRDefault="00654CEB" w:rsidP="00654CEB">
      <w:pPr>
        <w:ind w:firstLine="360"/>
        <w:jc w:val="both"/>
        <w:rPr>
          <w:rFonts w:ascii="FS Elliot Pro" w:hAnsi="FS Elliot Pro"/>
          <w:szCs w:val="28"/>
        </w:rPr>
      </w:pPr>
    </w:p>
    <w:p w14:paraId="7D447342" w14:textId="77777777" w:rsidR="00654CEB" w:rsidRPr="00654CEB" w:rsidRDefault="00654CEB" w:rsidP="00654CEB">
      <w:pPr>
        <w:ind w:firstLine="360"/>
        <w:jc w:val="both"/>
        <w:rPr>
          <w:rFonts w:ascii="FS Elliot Pro" w:hAnsi="FS Elliot Pro"/>
          <w:szCs w:val="28"/>
        </w:rPr>
      </w:pPr>
      <w:r w:rsidRPr="00654CEB">
        <w:rPr>
          <w:rFonts w:ascii="FS Elliot Pro" w:hAnsi="FS Elliot Pro"/>
          <w:szCs w:val="28"/>
        </w:rPr>
        <w:t>b.</w:t>
      </w:r>
      <w:r>
        <w:rPr>
          <w:rFonts w:ascii="FS Elliot Pro" w:hAnsi="FS Elliot Pro"/>
          <w:szCs w:val="28"/>
        </w:rPr>
        <w:t xml:space="preserve"> </w:t>
      </w:r>
      <w:r w:rsidRPr="00654CEB">
        <w:rPr>
          <w:rFonts w:ascii="FS Elliot Pro" w:hAnsi="FS Elliot Pro"/>
          <w:szCs w:val="28"/>
        </w:rPr>
        <w:t>Estos límites no aplicarán a inversiones en instrumentos emitidos o garantizados por el Estado de Chile.</w:t>
      </w:r>
    </w:p>
    <w:p w14:paraId="46069F57" w14:textId="77777777" w:rsidR="00654CEB" w:rsidRPr="00654CEB" w:rsidRDefault="00654CEB" w:rsidP="00654CEB">
      <w:pPr>
        <w:ind w:firstLine="360"/>
        <w:jc w:val="both"/>
        <w:rPr>
          <w:rFonts w:ascii="FS Elliot Pro" w:hAnsi="FS Elliot Pro"/>
          <w:szCs w:val="28"/>
        </w:rPr>
      </w:pPr>
      <w:r w:rsidRPr="00654CEB">
        <w:rPr>
          <w:rFonts w:ascii="FS Elliot Pro" w:hAnsi="FS Elliot Pro"/>
          <w:szCs w:val="28"/>
        </w:rPr>
        <w:t>c.</w:t>
      </w:r>
      <w:r>
        <w:rPr>
          <w:rFonts w:ascii="FS Elliot Pro" w:hAnsi="FS Elliot Pro"/>
          <w:szCs w:val="28"/>
        </w:rPr>
        <w:t xml:space="preserve"> </w:t>
      </w:r>
      <w:r w:rsidRPr="00654CEB">
        <w:rPr>
          <w:rFonts w:ascii="FS Elliot Pro" w:hAnsi="FS Elliot Pro"/>
          <w:szCs w:val="28"/>
        </w:rPr>
        <w:t>Para todos los demás instrumentos se usarán los límites que autoriza la Comisión para el Mercado Financiero (CMF).</w:t>
      </w:r>
    </w:p>
    <w:p w14:paraId="071BA9E5" w14:textId="77777777" w:rsidR="00654CEB" w:rsidRDefault="00654CEB" w:rsidP="00654CEB">
      <w:pPr>
        <w:ind w:firstLine="360"/>
        <w:jc w:val="both"/>
        <w:rPr>
          <w:rFonts w:ascii="FS Elliot Pro" w:hAnsi="FS Elliot Pro"/>
          <w:szCs w:val="28"/>
        </w:rPr>
      </w:pPr>
      <w:r w:rsidRPr="00654CEB">
        <w:rPr>
          <w:rFonts w:ascii="FS Elliot Pro" w:hAnsi="FS Elliot Pro"/>
          <w:szCs w:val="28"/>
        </w:rPr>
        <w:t>d.</w:t>
      </w:r>
      <w:r>
        <w:rPr>
          <w:rFonts w:ascii="FS Elliot Pro" w:hAnsi="FS Elliot Pro"/>
          <w:szCs w:val="28"/>
        </w:rPr>
        <w:t xml:space="preserve"> </w:t>
      </w:r>
      <w:r w:rsidRPr="00654CEB">
        <w:rPr>
          <w:rFonts w:ascii="FS Elliot Pro" w:hAnsi="FS Elliot Pro"/>
          <w:szCs w:val="28"/>
        </w:rPr>
        <w:t>En caso de los Bancos Locales (2) cuya clasificación baje de AA- se debe discutir en el Comité de Inversiones.</w:t>
      </w:r>
    </w:p>
    <w:p w14:paraId="4B516F23" w14:textId="4EE838B7" w:rsidR="00654CEB" w:rsidRDefault="00654CEB" w:rsidP="00654CEB">
      <w:pPr>
        <w:jc w:val="both"/>
        <w:rPr>
          <w:rFonts w:ascii="FS Elliot Pro" w:hAnsi="FS Elliot Pro"/>
          <w:szCs w:val="28"/>
        </w:rPr>
      </w:pPr>
      <w:r w:rsidRPr="00654CEB">
        <w:rPr>
          <w:rFonts w:ascii="FS Elliot Pro" w:hAnsi="FS Elliot Pro"/>
          <w:szCs w:val="28"/>
        </w:rPr>
        <w:t>Principal International (PI) define un patrimonio económico para los portafolios de inversión administrados. Los límites por emisor se establecen como porcentajes de este patrimonio. La clasificación de riesgo debe haber sido aprobada por el grupo de crédito de PGI, o en su defecto, solo en el caso de nombres locales, esta clasificación puede ser aprobada por el Grupo de Evaluación de Riesgo de Crédito Local. El Grupo de Evaluación de Riesgo de Crédito Local está compuesto por los ejecutivos de inversión de Chile, específicamente: Gerente Corporativo de Inversiones, Gerente de Estudios y Riesgo y Jefe de Riesgo</w:t>
      </w:r>
      <w:r w:rsidR="00FB5B52">
        <w:rPr>
          <w:rFonts w:ascii="FS Elliot Pro" w:hAnsi="FS Elliot Pro"/>
          <w:szCs w:val="28"/>
        </w:rPr>
        <w:t xml:space="preserve"> de Inversiones</w:t>
      </w:r>
      <w:r w:rsidRPr="00654CEB">
        <w:rPr>
          <w:rFonts w:ascii="FS Elliot Pro" w:hAnsi="FS Elliot Pro"/>
          <w:szCs w:val="28"/>
        </w:rPr>
        <w:t>; y su propósito es revisar y aprobar las clasificaciones de riesgo de los emisores locales. El grupo de crédito de PGI (Principal Global Investors) está compuesto por profesionales de inversión de Principal Global Investors. Los porcentajes para cada emisor se definen en base a la clasificación de riesgo aprobada por P</w:t>
      </w:r>
      <w:r w:rsidR="00FB5B52">
        <w:rPr>
          <w:rFonts w:ascii="FS Elliot Pro" w:hAnsi="FS Elliot Pro"/>
          <w:szCs w:val="28"/>
        </w:rPr>
        <w:t>G</w:t>
      </w:r>
      <w:r w:rsidRPr="00654CEB">
        <w:rPr>
          <w:rFonts w:ascii="FS Elliot Pro" w:hAnsi="FS Elliot Pro"/>
          <w:szCs w:val="28"/>
        </w:rPr>
        <w:t>I, o en su defecto, sólo en el caso de los emisores locales, la clasificación de riesgo podrá ser aprobada directamente por Principal Servicios Corporativos (PSC).</w:t>
      </w:r>
    </w:p>
    <w:p w14:paraId="0E216D5B" w14:textId="77777777" w:rsidR="00654CEB" w:rsidRPr="00654CEB" w:rsidRDefault="00654CEB" w:rsidP="00654CEB">
      <w:pPr>
        <w:ind w:firstLine="360"/>
        <w:jc w:val="both"/>
        <w:rPr>
          <w:rFonts w:ascii="FS Elliot Pro" w:hAnsi="FS Elliot Pro"/>
          <w:szCs w:val="28"/>
        </w:rPr>
      </w:pPr>
    </w:p>
    <w:p w14:paraId="336CF528" w14:textId="77777777" w:rsidR="007A2AC6" w:rsidRPr="003B0C4D" w:rsidRDefault="007A2AC6" w:rsidP="007A2AC6">
      <w:pPr>
        <w:pStyle w:val="Prrafodelista"/>
        <w:numPr>
          <w:ilvl w:val="0"/>
          <w:numId w:val="4"/>
        </w:numPr>
        <w:jc w:val="both"/>
        <w:rPr>
          <w:rFonts w:ascii="FS Elliot Pro" w:hAnsi="FS Elliot Pro"/>
          <w:b/>
          <w:color w:val="2F5496" w:themeColor="accent1" w:themeShade="BF"/>
          <w:szCs w:val="28"/>
          <w:highlight w:val="green"/>
        </w:rPr>
      </w:pPr>
      <w:r w:rsidRPr="003B0C4D">
        <w:rPr>
          <w:rFonts w:ascii="FS Elliot Pro" w:hAnsi="FS Elliot Pro"/>
          <w:b/>
          <w:color w:val="2F5496" w:themeColor="accent1" w:themeShade="BF"/>
          <w:szCs w:val="28"/>
          <w:highlight w:val="green"/>
        </w:rPr>
        <w:t>Límites por moneda</w:t>
      </w:r>
    </w:p>
    <w:p w14:paraId="7605C2BD" w14:textId="77777777" w:rsidR="00654CEB" w:rsidRPr="00654CEB" w:rsidRDefault="00654CEB" w:rsidP="00654CEB">
      <w:pPr>
        <w:jc w:val="both"/>
        <w:rPr>
          <w:rFonts w:ascii="FS Elliot Pro" w:hAnsi="FS Elliot Pro"/>
          <w:szCs w:val="28"/>
        </w:rPr>
      </w:pPr>
      <w:r w:rsidRPr="00654CEB">
        <w:rPr>
          <w:rFonts w:ascii="FS Elliot Pro" w:hAnsi="FS Elliot Pro"/>
          <w:szCs w:val="28"/>
        </w:rPr>
        <w:t>Dado que los pasivos están en su mayoría denominados en UF, el objetivo es tener un 100% de los activos denominados o indexados a la UF o cubiertos a través de derivados con un límite mínimo de 90%.</w:t>
      </w:r>
    </w:p>
    <w:p w14:paraId="560CCA3D" w14:textId="77777777" w:rsidR="00654CEB" w:rsidRPr="00654CEB" w:rsidRDefault="00654CEB" w:rsidP="00654CEB">
      <w:pPr>
        <w:jc w:val="both"/>
        <w:rPr>
          <w:rFonts w:ascii="FS Elliot Pro" w:hAnsi="FS Elliot Pro"/>
          <w:szCs w:val="28"/>
        </w:rPr>
      </w:pPr>
      <w:r w:rsidRPr="00654CEB">
        <w:rPr>
          <w:rFonts w:ascii="FS Elliot Pro" w:hAnsi="FS Elliot Pro"/>
          <w:szCs w:val="28"/>
        </w:rPr>
        <w:t>Un máximo de 20% de los activos pueden estar denominados en moneda extranjera.</w:t>
      </w:r>
    </w:p>
    <w:p w14:paraId="43B7707C" w14:textId="77777777" w:rsidR="007A2AC6" w:rsidRPr="003B0C4D" w:rsidRDefault="007A2AC6" w:rsidP="007A2AC6">
      <w:pPr>
        <w:pStyle w:val="Prrafodelista"/>
        <w:numPr>
          <w:ilvl w:val="0"/>
          <w:numId w:val="4"/>
        </w:numPr>
        <w:jc w:val="both"/>
        <w:rPr>
          <w:rFonts w:ascii="FS Elliot Pro" w:hAnsi="FS Elliot Pro"/>
          <w:b/>
          <w:color w:val="2F5496" w:themeColor="accent1" w:themeShade="BF"/>
          <w:szCs w:val="28"/>
          <w:highlight w:val="green"/>
        </w:rPr>
      </w:pPr>
      <w:r w:rsidRPr="003B0C4D">
        <w:rPr>
          <w:rFonts w:ascii="FS Elliot Pro" w:hAnsi="FS Elliot Pro"/>
          <w:b/>
          <w:color w:val="2F5496" w:themeColor="accent1" w:themeShade="BF"/>
          <w:szCs w:val="28"/>
          <w:highlight w:val="green"/>
        </w:rPr>
        <w:t>Límites de duration del portafolio</w:t>
      </w:r>
    </w:p>
    <w:p w14:paraId="6F631538" w14:textId="66D0E1CE" w:rsidR="00654CEB" w:rsidRDefault="00654CEB" w:rsidP="00654CEB">
      <w:pPr>
        <w:jc w:val="both"/>
        <w:rPr>
          <w:rFonts w:ascii="FS Elliot Pro" w:hAnsi="FS Elliot Pro"/>
          <w:szCs w:val="28"/>
        </w:rPr>
      </w:pPr>
      <w:r w:rsidRPr="00654CEB">
        <w:rPr>
          <w:rFonts w:ascii="FS Elliot Pro" w:hAnsi="FS Elliot Pro"/>
          <w:szCs w:val="28"/>
        </w:rPr>
        <w:t xml:space="preserve">Es deseable que cada flujo de pasivo esté calzado con un flujo de activo de la cartera de inversiones, y la actividad de inversiones trata en todo momento de moverse hacia este objetivo. En caso que esto no sea posible a precios razonables debido a la iliquidez de mercado, el riesgo de tasa de interés debe ser reducido tratando de calzar el duration de los pasivos con el duration de los activos. Se aceptará descalce de duration en caso de que haya iliquidez de mercado en las inversiones de alto duration o que este duration sólo pueda ser conseguido con muy alto riesgo de crédito. En todo caso, la diferencia de duration entre activos y pasivos del portafolio de renta fija se define en la política de </w:t>
      </w:r>
      <w:r w:rsidR="008064F9" w:rsidRPr="00654CEB">
        <w:rPr>
          <w:rFonts w:ascii="FS Elliot Pro" w:hAnsi="FS Elliot Pro"/>
          <w:szCs w:val="28"/>
        </w:rPr>
        <w:t>ALM</w:t>
      </w:r>
      <w:r w:rsidR="008064F9">
        <w:rPr>
          <w:rFonts w:ascii="FS Elliot Pro" w:hAnsi="FS Elliot Pro"/>
          <w:szCs w:val="28"/>
        </w:rPr>
        <w:t xml:space="preserve">, </w:t>
      </w:r>
      <w:r w:rsidR="008064F9" w:rsidRPr="00654CEB">
        <w:rPr>
          <w:rFonts w:ascii="FS Elliot Pro" w:hAnsi="FS Elliot Pro"/>
          <w:szCs w:val="28"/>
        </w:rPr>
        <w:t>la</w:t>
      </w:r>
      <w:r w:rsidRPr="00654CEB">
        <w:rPr>
          <w:rFonts w:ascii="FS Elliot Pro" w:hAnsi="FS Elliot Pro"/>
          <w:szCs w:val="28"/>
        </w:rPr>
        <w:t xml:space="preserve"> cual, actualmente establece que la diferencia de duration entre activos y pasivos </w:t>
      </w:r>
      <w:r w:rsidRPr="00654CEB">
        <w:rPr>
          <w:rFonts w:ascii="FS Elliot Pro" w:hAnsi="FS Elliot Pro"/>
          <w:szCs w:val="28"/>
        </w:rPr>
        <w:lastRenderedPageBreak/>
        <w:t>objetivo del portafolio de renta fija deberá estar entre 0 y 2 años, con una tolerancia máxima de 4 años.</w:t>
      </w:r>
    </w:p>
    <w:p w14:paraId="4731ECD2" w14:textId="77777777" w:rsidR="00654CEB" w:rsidRPr="00654CEB" w:rsidRDefault="00654CEB" w:rsidP="00654CEB">
      <w:pPr>
        <w:jc w:val="both"/>
        <w:rPr>
          <w:rFonts w:ascii="FS Elliot Pro" w:hAnsi="FS Elliot Pro"/>
          <w:szCs w:val="28"/>
        </w:rPr>
      </w:pPr>
    </w:p>
    <w:p w14:paraId="61570848" w14:textId="77777777" w:rsidR="007A2AC6" w:rsidRPr="003B0C4D" w:rsidRDefault="007A2AC6" w:rsidP="007A2AC6">
      <w:pPr>
        <w:pStyle w:val="Prrafodelista"/>
        <w:numPr>
          <w:ilvl w:val="0"/>
          <w:numId w:val="4"/>
        </w:numPr>
        <w:jc w:val="both"/>
        <w:rPr>
          <w:rFonts w:ascii="FS Elliot Pro" w:hAnsi="FS Elliot Pro"/>
          <w:b/>
          <w:color w:val="2F5496" w:themeColor="accent1" w:themeShade="BF"/>
          <w:szCs w:val="28"/>
          <w:highlight w:val="red"/>
        </w:rPr>
      </w:pPr>
      <w:r w:rsidRPr="003B0C4D">
        <w:rPr>
          <w:rFonts w:ascii="FS Elliot Pro" w:hAnsi="FS Elliot Pro"/>
          <w:b/>
          <w:color w:val="2F5496" w:themeColor="accent1" w:themeShade="BF"/>
          <w:szCs w:val="28"/>
          <w:highlight w:val="red"/>
        </w:rPr>
        <w:t>Límites de liquidez</w:t>
      </w:r>
    </w:p>
    <w:p w14:paraId="62E5A3BF" w14:textId="77777777" w:rsidR="00654CEB" w:rsidRPr="00654CEB" w:rsidRDefault="00654CEB" w:rsidP="00654CEB">
      <w:pPr>
        <w:jc w:val="both"/>
        <w:rPr>
          <w:rFonts w:ascii="FS Elliot Pro" w:hAnsi="FS Elliot Pro"/>
          <w:szCs w:val="28"/>
        </w:rPr>
      </w:pPr>
      <w:r w:rsidRPr="00654CEB">
        <w:rPr>
          <w:rFonts w:ascii="FS Elliot Pro" w:hAnsi="FS Elliot Pro"/>
          <w:szCs w:val="28"/>
        </w:rPr>
        <w:t xml:space="preserve">El riesgo de pérdidas derivadas de condiciones de venta forzosa de activos o condiciones de financiamiento desfavorables, para obtener los fondos necesarios para cubrir las obligaciones de la compañía. </w:t>
      </w:r>
    </w:p>
    <w:p w14:paraId="1EC7BE51" w14:textId="77777777" w:rsidR="00654CEB" w:rsidRPr="00654CEB" w:rsidRDefault="00654CEB" w:rsidP="00654CEB">
      <w:pPr>
        <w:jc w:val="both"/>
        <w:rPr>
          <w:rFonts w:ascii="FS Elliot Pro" w:hAnsi="FS Elliot Pro"/>
          <w:szCs w:val="28"/>
        </w:rPr>
      </w:pPr>
      <w:r w:rsidRPr="00654CEB">
        <w:rPr>
          <w:rFonts w:ascii="FS Elliot Pro" w:hAnsi="FS Elliot Pro"/>
          <w:szCs w:val="28"/>
        </w:rPr>
        <w:t xml:space="preserve">Las rentas vitalicias previsionales y privadas son irrevocables, los flujos de caja son por lo general estables y predecibles. </w:t>
      </w:r>
    </w:p>
    <w:p w14:paraId="6FDCDA6D" w14:textId="77777777" w:rsidR="00654CEB" w:rsidRPr="003B0C4D" w:rsidRDefault="00654CEB" w:rsidP="00654CEB">
      <w:pPr>
        <w:jc w:val="both"/>
        <w:rPr>
          <w:rFonts w:ascii="FS Elliot Pro" w:hAnsi="FS Elliot Pro"/>
          <w:szCs w:val="28"/>
        </w:rPr>
      </w:pPr>
      <w:r w:rsidRPr="00654CEB">
        <w:rPr>
          <w:rFonts w:ascii="FS Elliot Pro" w:hAnsi="FS Elliot Pro"/>
          <w:szCs w:val="28"/>
        </w:rPr>
        <w:t xml:space="preserve">Para asegurar un nivel de liquidez suficiente en un escenario de estrés severo, nuestro apetito por riesgo se define, para efectos de liquidez, en </w:t>
      </w:r>
      <w:r w:rsidRPr="003B0C4D">
        <w:rPr>
          <w:rFonts w:ascii="FS Elliot Pro" w:hAnsi="FS Elliot Pro"/>
          <w:szCs w:val="28"/>
          <w:highlight w:val="red"/>
        </w:rPr>
        <w:t>mantener 1 mes de pago de pensiones de rentas vitalicias en activos líquidos de alta calidad según se define en la “Política de Cash Management” aprobada por el Directorio.</w:t>
      </w:r>
    </w:p>
    <w:p w14:paraId="06B47FDD" w14:textId="77777777" w:rsidR="00654CEB" w:rsidRPr="00654CEB" w:rsidRDefault="00654CEB" w:rsidP="00654CEB">
      <w:pPr>
        <w:jc w:val="both"/>
        <w:rPr>
          <w:rFonts w:ascii="FS Elliot Pro" w:hAnsi="FS Elliot Pro"/>
          <w:szCs w:val="28"/>
        </w:rPr>
      </w:pPr>
    </w:p>
    <w:p w14:paraId="5599E2ED" w14:textId="77777777" w:rsidR="007A2AC6" w:rsidRPr="003B0C4D" w:rsidRDefault="007A2AC6" w:rsidP="007A2AC6">
      <w:pPr>
        <w:pStyle w:val="Prrafodelista"/>
        <w:numPr>
          <w:ilvl w:val="0"/>
          <w:numId w:val="4"/>
        </w:numPr>
        <w:jc w:val="both"/>
        <w:rPr>
          <w:rFonts w:ascii="FS Elliot Pro" w:hAnsi="FS Elliot Pro"/>
          <w:b/>
          <w:color w:val="2F5496" w:themeColor="accent1" w:themeShade="BF"/>
          <w:szCs w:val="28"/>
          <w:highlight w:val="green"/>
        </w:rPr>
      </w:pPr>
      <w:r w:rsidRPr="003B0C4D">
        <w:rPr>
          <w:rFonts w:ascii="FS Elliot Pro" w:hAnsi="FS Elliot Pro"/>
          <w:b/>
          <w:color w:val="2F5496" w:themeColor="accent1" w:themeShade="BF"/>
          <w:szCs w:val="28"/>
          <w:highlight w:val="green"/>
        </w:rPr>
        <w:t>Límites para endeudamiento</w:t>
      </w:r>
    </w:p>
    <w:p w14:paraId="0BA38D4B" w14:textId="77777777" w:rsidR="00654CEB" w:rsidRDefault="00654CEB" w:rsidP="00654CEB">
      <w:pPr>
        <w:jc w:val="both"/>
        <w:rPr>
          <w:rFonts w:ascii="FS Elliot Pro" w:hAnsi="FS Elliot Pro"/>
          <w:szCs w:val="28"/>
        </w:rPr>
      </w:pPr>
      <w:r w:rsidRPr="00654CEB">
        <w:rPr>
          <w:rFonts w:ascii="FS Elliot Pro" w:hAnsi="FS Elliot Pro"/>
          <w:szCs w:val="28"/>
        </w:rPr>
        <w:t>La compañía podrá endeudarse para poder financiar la incorporación de nuevos activos en la cartera que respalda las Reservas de Rentas Vitalicias o Privadas. En caso de que así ocurra, entonces esta cartera también respaldará compromisos asumidos con terceros, siempre que se provea patrimonio adicional de manera que se cumpla el límite máximo permitido del ratio pasivos/patrimonio. El financiamiento podrá producirse por préstamos bancarios o por venta transitoria de los activos a través del uso de pactos de retrocompra. En cualquier caso, el nivel máximo de endeudamiento será el monto definido en la Política de Endeudamiento aprobada por el Directorio.</w:t>
      </w:r>
    </w:p>
    <w:p w14:paraId="1C703F01" w14:textId="77777777" w:rsidR="00654CEB" w:rsidRPr="00654CEB" w:rsidRDefault="00654CEB" w:rsidP="00654CEB">
      <w:pPr>
        <w:jc w:val="both"/>
        <w:rPr>
          <w:rFonts w:ascii="FS Elliot Pro" w:hAnsi="FS Elliot Pro"/>
          <w:szCs w:val="28"/>
        </w:rPr>
      </w:pPr>
    </w:p>
    <w:p w14:paraId="192DCB27" w14:textId="77777777" w:rsidR="007A2AC6" w:rsidRPr="003B0C4D" w:rsidRDefault="007A2AC6" w:rsidP="007A2AC6">
      <w:pPr>
        <w:pStyle w:val="Prrafodelista"/>
        <w:numPr>
          <w:ilvl w:val="0"/>
          <w:numId w:val="4"/>
        </w:numPr>
        <w:jc w:val="both"/>
        <w:rPr>
          <w:rFonts w:ascii="FS Elliot Pro" w:hAnsi="FS Elliot Pro"/>
          <w:b/>
          <w:color w:val="2F5496" w:themeColor="accent1" w:themeShade="BF"/>
          <w:szCs w:val="28"/>
          <w:highlight w:val="green"/>
        </w:rPr>
      </w:pPr>
      <w:r w:rsidRPr="003B0C4D">
        <w:rPr>
          <w:rFonts w:ascii="FS Elliot Pro" w:hAnsi="FS Elliot Pro"/>
          <w:b/>
          <w:color w:val="2F5496" w:themeColor="accent1" w:themeShade="BF"/>
          <w:szCs w:val="28"/>
          <w:highlight w:val="green"/>
        </w:rPr>
        <w:t>Límites para el uso de derivados</w:t>
      </w:r>
    </w:p>
    <w:p w14:paraId="0CD75D14" w14:textId="77777777" w:rsidR="00654CEB" w:rsidRDefault="00654CEB" w:rsidP="00654CEB">
      <w:pPr>
        <w:jc w:val="both"/>
        <w:rPr>
          <w:rFonts w:ascii="FS Elliot Pro" w:hAnsi="FS Elliot Pro"/>
          <w:szCs w:val="28"/>
        </w:rPr>
      </w:pPr>
      <w:r w:rsidRPr="00654CEB">
        <w:rPr>
          <w:rFonts w:ascii="FS Elliot Pro" w:hAnsi="FS Elliot Pro"/>
          <w:szCs w:val="28"/>
        </w:rPr>
        <w:t>El uso de derivados será para reducir el riesgo de los activos del portafolio, para cubrir el riesgo de descalce de monedas o de tasa de interés, o para simular una operación aprobada de una manera más eficiente. El uso de derivados deberá regirse por la Política de Utilización de Productos Derivados, y deberá ser aprobado por el Comité de Inversiones Local y el Directorio.</w:t>
      </w:r>
    </w:p>
    <w:p w14:paraId="3D1A8DCD" w14:textId="77777777" w:rsidR="00654CEB" w:rsidRPr="00654CEB" w:rsidRDefault="00654CEB" w:rsidP="00654CEB">
      <w:pPr>
        <w:jc w:val="both"/>
        <w:rPr>
          <w:rFonts w:ascii="FS Elliot Pro" w:hAnsi="FS Elliot Pro"/>
          <w:szCs w:val="28"/>
        </w:rPr>
      </w:pPr>
    </w:p>
    <w:p w14:paraId="3EBEBA87" w14:textId="77777777" w:rsidR="007A2AC6" w:rsidRDefault="007A2AC6" w:rsidP="007A2AC6">
      <w:pPr>
        <w:pStyle w:val="Prrafodelista"/>
        <w:numPr>
          <w:ilvl w:val="0"/>
          <w:numId w:val="4"/>
        </w:numPr>
        <w:jc w:val="both"/>
        <w:rPr>
          <w:rFonts w:ascii="FS Elliot Pro" w:hAnsi="FS Elliot Pro"/>
          <w:b/>
          <w:color w:val="2F5496" w:themeColor="accent1" w:themeShade="BF"/>
          <w:szCs w:val="28"/>
        </w:rPr>
      </w:pPr>
      <w:r w:rsidRPr="007A2AC6">
        <w:rPr>
          <w:rFonts w:ascii="FS Elliot Pro" w:hAnsi="FS Elliot Pro"/>
          <w:b/>
          <w:color w:val="2F5496" w:themeColor="accent1" w:themeShade="BF"/>
          <w:szCs w:val="28"/>
        </w:rPr>
        <w:t>Cumplimiento de estos límites</w:t>
      </w:r>
    </w:p>
    <w:p w14:paraId="3606AAB4" w14:textId="77777777" w:rsidR="00654CEB" w:rsidRPr="00654CEB" w:rsidRDefault="00654CEB" w:rsidP="00654CEB">
      <w:pPr>
        <w:jc w:val="both"/>
        <w:rPr>
          <w:rFonts w:ascii="FS Elliot Pro" w:hAnsi="FS Elliot Pro"/>
          <w:szCs w:val="28"/>
        </w:rPr>
      </w:pPr>
      <w:r w:rsidRPr="00654CEB">
        <w:rPr>
          <w:rFonts w:ascii="FS Elliot Pro" w:hAnsi="FS Elliot Pro"/>
          <w:szCs w:val="28"/>
        </w:rPr>
        <w:t xml:space="preserve">Las desviaciones de estos límites serán reportadas en el siguiente comité de inversiones local en donde se explicarán las causas y se acordarán los pasos a seguir. </w:t>
      </w:r>
    </w:p>
    <w:p w14:paraId="38CF972E" w14:textId="77777777" w:rsidR="00654CEB" w:rsidRPr="00654CEB" w:rsidRDefault="00654CEB" w:rsidP="00654CEB">
      <w:pPr>
        <w:jc w:val="both"/>
        <w:rPr>
          <w:rFonts w:ascii="FS Elliot Pro" w:hAnsi="FS Elliot Pro"/>
          <w:szCs w:val="28"/>
        </w:rPr>
      </w:pPr>
      <w:r w:rsidRPr="00654CEB">
        <w:rPr>
          <w:rFonts w:ascii="FS Elliot Pro" w:hAnsi="FS Elliot Pro"/>
          <w:szCs w:val="28"/>
        </w:rPr>
        <w:t xml:space="preserve">• Revisión anual. </w:t>
      </w:r>
    </w:p>
    <w:p w14:paraId="0EE786BF" w14:textId="77777777" w:rsidR="00654CEB" w:rsidRDefault="00654CEB" w:rsidP="00654CEB">
      <w:pPr>
        <w:pBdr>
          <w:bottom w:val="single" w:sz="12" w:space="1" w:color="auto"/>
        </w:pBdr>
        <w:jc w:val="both"/>
        <w:rPr>
          <w:rFonts w:ascii="FS Elliot Pro" w:hAnsi="FS Elliot Pro"/>
          <w:szCs w:val="28"/>
        </w:rPr>
      </w:pPr>
      <w:r w:rsidRPr="00654CEB">
        <w:rPr>
          <w:rFonts w:ascii="FS Elliot Pro" w:hAnsi="FS Elliot Pro"/>
          <w:szCs w:val="28"/>
        </w:rPr>
        <w:lastRenderedPageBreak/>
        <w:t>Esta Política de Inversiones será revisada al menos una vez al año para asegurarse de que este documento mantiene su vigencia, y cada cambio propuesto se presentará al Comité de Inversiones de Principal Vida y deberá ser ratificado por el Directorio de Principal Vida Chile.</w:t>
      </w:r>
    </w:p>
    <w:p w14:paraId="6329085A" w14:textId="77777777" w:rsidR="00092A74" w:rsidRPr="00654CEB" w:rsidRDefault="00092A74" w:rsidP="00654CEB">
      <w:pPr>
        <w:pBdr>
          <w:bottom w:val="single" w:sz="12" w:space="1" w:color="auto"/>
        </w:pBdr>
        <w:jc w:val="both"/>
        <w:rPr>
          <w:rFonts w:ascii="FS Elliot Pro" w:hAnsi="FS Elliot Pro"/>
          <w:szCs w:val="28"/>
        </w:rPr>
      </w:pPr>
    </w:p>
    <w:p w14:paraId="38326306" w14:textId="77777777" w:rsidR="00092A74" w:rsidRPr="00092A74" w:rsidRDefault="00092A74" w:rsidP="00092A74">
      <w:pPr>
        <w:jc w:val="both"/>
        <w:rPr>
          <w:rFonts w:ascii="FS Elliot Pro" w:hAnsi="FS Elliot Pro"/>
          <w:b/>
          <w:color w:val="2F5496" w:themeColor="accent1" w:themeShade="BF"/>
          <w:szCs w:val="28"/>
        </w:rPr>
      </w:pPr>
    </w:p>
    <w:p w14:paraId="000DC077" w14:textId="77777777" w:rsidR="00092A74" w:rsidRDefault="00092A74" w:rsidP="00092A74">
      <w:pPr>
        <w:rPr>
          <w:rFonts w:ascii="FS Elliot Pro" w:hAnsi="FS Elliot Pro"/>
          <w:b/>
          <w:color w:val="2F5496" w:themeColor="accent1" w:themeShade="BF"/>
          <w:sz w:val="28"/>
          <w:szCs w:val="28"/>
        </w:rPr>
      </w:pPr>
      <w:bookmarkStart w:id="5" w:name="_Hlk13652468"/>
      <w:bookmarkEnd w:id="2"/>
      <w:r>
        <w:rPr>
          <w:rFonts w:ascii="FS Elliot Pro" w:hAnsi="FS Elliot Pro"/>
          <w:b/>
          <w:color w:val="2F5496" w:themeColor="accent1" w:themeShade="BF"/>
          <w:sz w:val="28"/>
          <w:szCs w:val="28"/>
        </w:rPr>
        <w:t>2</w:t>
      </w:r>
      <w:r w:rsidRPr="001F1CF3">
        <w:rPr>
          <w:rFonts w:ascii="FS Elliot Pro" w:hAnsi="FS Elliot Pro"/>
          <w:b/>
          <w:color w:val="2F5496" w:themeColor="accent1" w:themeShade="BF"/>
          <w:sz w:val="28"/>
          <w:szCs w:val="28"/>
        </w:rPr>
        <w:t>.</w:t>
      </w:r>
      <w:r>
        <w:rPr>
          <w:rFonts w:ascii="FS Elliot Pro" w:hAnsi="FS Elliot Pro"/>
          <w:b/>
          <w:color w:val="2F5496" w:themeColor="accent1" w:themeShade="BF"/>
          <w:sz w:val="28"/>
          <w:szCs w:val="28"/>
        </w:rPr>
        <w:t xml:space="preserve"> </w:t>
      </w:r>
      <w:r w:rsidRPr="00092A74">
        <w:rPr>
          <w:rFonts w:ascii="FS Elliot Pro" w:hAnsi="FS Elliot Pro"/>
          <w:b/>
          <w:color w:val="2F5496" w:themeColor="accent1" w:themeShade="BF"/>
          <w:sz w:val="28"/>
          <w:szCs w:val="28"/>
        </w:rPr>
        <w:t>Política de Inversiones para reservas de ahorro (Carteras UL)</w:t>
      </w:r>
    </w:p>
    <w:p w14:paraId="2A9D3C32" w14:textId="77777777" w:rsidR="00397A36" w:rsidRPr="001B3E1F" w:rsidRDefault="00397A36" w:rsidP="00092A74">
      <w:pPr>
        <w:rPr>
          <w:rFonts w:ascii="FS Elliot Pro" w:hAnsi="FS Elliot Pro"/>
          <w:b/>
          <w:color w:val="2F5496" w:themeColor="accent1" w:themeShade="BF"/>
          <w:sz w:val="24"/>
          <w:szCs w:val="28"/>
        </w:rPr>
      </w:pPr>
    </w:p>
    <w:p w14:paraId="6D1B0F06" w14:textId="77777777" w:rsidR="00092A74" w:rsidRPr="001F1CF3" w:rsidRDefault="00092A74" w:rsidP="00092A74">
      <w:pPr>
        <w:rPr>
          <w:rFonts w:ascii="FS Elliot Pro" w:hAnsi="FS Elliot Pro"/>
          <w:b/>
          <w:color w:val="2F5496" w:themeColor="accent1" w:themeShade="BF"/>
          <w:sz w:val="28"/>
          <w:szCs w:val="28"/>
        </w:rPr>
      </w:pPr>
      <w:r w:rsidRPr="001F1CF3">
        <w:rPr>
          <w:rFonts w:ascii="FS Elliot Pro" w:hAnsi="FS Elliot Pro"/>
          <w:b/>
          <w:color w:val="2F5496" w:themeColor="accent1" w:themeShade="BF"/>
          <w:sz w:val="28"/>
          <w:szCs w:val="28"/>
        </w:rPr>
        <w:t>a. Propósito</w:t>
      </w:r>
      <w:r>
        <w:rPr>
          <w:rFonts w:ascii="FS Elliot Pro" w:hAnsi="FS Elliot Pro"/>
          <w:b/>
          <w:color w:val="2F5496" w:themeColor="accent1" w:themeShade="BF"/>
          <w:sz w:val="28"/>
          <w:szCs w:val="28"/>
        </w:rPr>
        <w:t>s</w:t>
      </w:r>
    </w:p>
    <w:p w14:paraId="421C3DE2" w14:textId="77777777" w:rsidR="00092A74" w:rsidRPr="00092A74" w:rsidRDefault="00092A74" w:rsidP="00092A74">
      <w:pPr>
        <w:jc w:val="both"/>
        <w:rPr>
          <w:rFonts w:ascii="FS Elliot Pro" w:hAnsi="FS Elliot Pro"/>
          <w:b/>
          <w:color w:val="2F5496" w:themeColor="accent1" w:themeShade="BF"/>
        </w:rPr>
      </w:pPr>
      <w:r w:rsidRPr="007A2AC6">
        <w:rPr>
          <w:rFonts w:ascii="FS Elliot Pro" w:hAnsi="FS Elliot Pro"/>
          <w:b/>
          <w:color w:val="2F5496" w:themeColor="accent1" w:themeShade="BF"/>
        </w:rPr>
        <w:t xml:space="preserve">• </w:t>
      </w:r>
      <w:r w:rsidRPr="00092A74">
        <w:rPr>
          <w:rFonts w:ascii="FS Elliot Pro" w:hAnsi="FS Elliot Pro"/>
          <w:b/>
          <w:color w:val="2F5496" w:themeColor="accent1" w:themeShade="BF"/>
        </w:rPr>
        <w:t xml:space="preserve">Objetivo de las Carteras de Inversiones. </w:t>
      </w:r>
    </w:p>
    <w:p w14:paraId="507EE5BC" w14:textId="77777777" w:rsidR="00092A74" w:rsidRPr="00092A74" w:rsidRDefault="00092A74" w:rsidP="00092A74">
      <w:pPr>
        <w:jc w:val="both"/>
        <w:rPr>
          <w:rFonts w:ascii="FS Elliot Pro" w:hAnsi="FS Elliot Pro"/>
        </w:rPr>
      </w:pPr>
      <w:r w:rsidRPr="00092A74">
        <w:rPr>
          <w:rFonts w:ascii="FS Elliot Pro" w:hAnsi="FS Elliot Pro"/>
        </w:rPr>
        <w:t xml:space="preserve">Los objetivos de cada cartera de inversiones son los siguientes: </w:t>
      </w:r>
    </w:p>
    <w:p w14:paraId="2F4046F2" w14:textId="77777777" w:rsidR="00092A74" w:rsidRPr="00092A74" w:rsidRDefault="00092A74" w:rsidP="00092A74">
      <w:pPr>
        <w:ind w:firstLine="708"/>
        <w:jc w:val="both"/>
        <w:rPr>
          <w:rFonts w:ascii="FS Elliot Pro" w:hAnsi="FS Elliot Pro"/>
        </w:rPr>
      </w:pPr>
      <w:r w:rsidRPr="00092A74">
        <w:rPr>
          <w:rFonts w:ascii="FS Elliot Pro" w:hAnsi="FS Elliot Pro"/>
        </w:rPr>
        <w:t>a.</w:t>
      </w:r>
      <w:r>
        <w:rPr>
          <w:rFonts w:ascii="FS Elliot Pro" w:hAnsi="FS Elliot Pro"/>
        </w:rPr>
        <w:t xml:space="preserve"> </w:t>
      </w:r>
      <w:r w:rsidRPr="00092A74">
        <w:rPr>
          <w:rFonts w:ascii="FS Elliot Pro" w:hAnsi="FS Elliot Pro"/>
        </w:rPr>
        <w:t xml:space="preserve">Responder adecuadamente con los compromisos asumidos con los clientes de cada uno de los productos de Principal Vida Chile, minimizando los riesgos de escenarios adversos y cumpliendo con la normativa vigente. </w:t>
      </w:r>
    </w:p>
    <w:p w14:paraId="4FEE9019" w14:textId="77777777" w:rsidR="00092A74" w:rsidRPr="00092A74" w:rsidRDefault="00092A74" w:rsidP="00092A74">
      <w:pPr>
        <w:ind w:firstLine="708"/>
        <w:jc w:val="both"/>
        <w:rPr>
          <w:rFonts w:ascii="FS Elliot Pro" w:hAnsi="FS Elliot Pro"/>
        </w:rPr>
      </w:pPr>
      <w:r w:rsidRPr="00092A74">
        <w:rPr>
          <w:rFonts w:ascii="FS Elliot Pro" w:hAnsi="FS Elliot Pro"/>
        </w:rPr>
        <w:t>b.</w:t>
      </w:r>
      <w:r>
        <w:rPr>
          <w:rFonts w:ascii="FS Elliot Pro" w:hAnsi="FS Elliot Pro"/>
        </w:rPr>
        <w:t xml:space="preserve"> </w:t>
      </w:r>
      <w:r w:rsidRPr="00092A74">
        <w:rPr>
          <w:rFonts w:ascii="FS Elliot Pro" w:hAnsi="FS Elliot Pro"/>
        </w:rPr>
        <w:t xml:space="preserve">Garantizar en la medida de lo posible un adecuado retorno para el accionista que compense debidamente por el riesgo asumido en este negocio. </w:t>
      </w:r>
    </w:p>
    <w:p w14:paraId="0E1AF54A" w14:textId="77777777" w:rsidR="00092A74" w:rsidRPr="00092A74" w:rsidRDefault="00092A74" w:rsidP="00092A74">
      <w:pPr>
        <w:jc w:val="both"/>
        <w:rPr>
          <w:rFonts w:ascii="FS Elliot Pro" w:hAnsi="FS Elliot Pro"/>
        </w:rPr>
      </w:pPr>
    </w:p>
    <w:p w14:paraId="3B40C211" w14:textId="77777777" w:rsidR="00092A74" w:rsidRPr="00092A74" w:rsidRDefault="00092A74" w:rsidP="00092A74">
      <w:pPr>
        <w:jc w:val="both"/>
        <w:rPr>
          <w:rFonts w:ascii="FS Elliot Pro" w:hAnsi="FS Elliot Pro"/>
          <w:b/>
          <w:color w:val="2F5496" w:themeColor="accent1" w:themeShade="BF"/>
        </w:rPr>
      </w:pPr>
      <w:r w:rsidRPr="00092A74">
        <w:rPr>
          <w:rFonts w:ascii="FS Elliot Pro" w:hAnsi="FS Elliot Pro"/>
          <w:b/>
          <w:color w:val="2F5496" w:themeColor="accent1" w:themeShade="BF"/>
        </w:rPr>
        <w:t xml:space="preserve">•  Objetivo de esta Política de Inversiones. </w:t>
      </w:r>
    </w:p>
    <w:p w14:paraId="3E61EA21" w14:textId="77777777" w:rsidR="002851E1" w:rsidRDefault="00092A74" w:rsidP="00092A74">
      <w:pPr>
        <w:jc w:val="both"/>
        <w:rPr>
          <w:rFonts w:ascii="FS Elliot Pro" w:hAnsi="FS Elliot Pro"/>
        </w:rPr>
      </w:pPr>
      <w:r w:rsidRPr="00092A74">
        <w:rPr>
          <w:rFonts w:ascii="FS Elliot Pro" w:hAnsi="FS Elliot Pro"/>
        </w:rPr>
        <w:t>El objetivo de la Política de Inversiones es el de establecer un marco de acción en el cual tiene que estar circunscrita la Estrategia de Inversiones. La Estrategia de Inversiones incorpora todas las decisiones de inversión relacionadas con cada cartera.</w:t>
      </w:r>
    </w:p>
    <w:p w14:paraId="4D5FD9AA" w14:textId="77777777" w:rsidR="00092A74" w:rsidRDefault="00092A74" w:rsidP="001F1CF3">
      <w:pPr>
        <w:jc w:val="both"/>
        <w:rPr>
          <w:rFonts w:ascii="FS Elliot Pro" w:hAnsi="FS Elliot Pro"/>
        </w:rPr>
      </w:pPr>
    </w:p>
    <w:p w14:paraId="712E3B40" w14:textId="77777777" w:rsidR="00092A74" w:rsidRDefault="00092A74" w:rsidP="00092A74">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b. Alcance</w:t>
      </w:r>
    </w:p>
    <w:p w14:paraId="15A4070E" w14:textId="77777777" w:rsidR="00092A74" w:rsidRDefault="00092A74" w:rsidP="00092A74">
      <w:pPr>
        <w:spacing w:line="240" w:lineRule="auto"/>
        <w:jc w:val="both"/>
        <w:rPr>
          <w:rFonts w:ascii="FS Elliot Pro" w:hAnsi="FS Elliot Pro"/>
        </w:rPr>
      </w:pPr>
      <w:r w:rsidRPr="001F1CF3">
        <w:rPr>
          <w:rFonts w:ascii="FS Elliot Pro" w:hAnsi="FS Elliot Pro"/>
        </w:rPr>
        <w:t xml:space="preserve">Esta política </w:t>
      </w:r>
      <w:r>
        <w:rPr>
          <w:rFonts w:ascii="FS Elliot Pro" w:hAnsi="FS Elliot Pro"/>
        </w:rPr>
        <w:t>aplica a todos los directores y colaboradores de PVCH.</w:t>
      </w:r>
    </w:p>
    <w:p w14:paraId="50AF60DA" w14:textId="77777777" w:rsidR="00092A74" w:rsidRPr="001F1CF3" w:rsidRDefault="00092A74" w:rsidP="00092A74">
      <w:pPr>
        <w:jc w:val="both"/>
        <w:rPr>
          <w:rFonts w:ascii="FS Elliot Pro" w:hAnsi="FS Elliot Pro"/>
          <w:sz w:val="24"/>
          <w:szCs w:val="24"/>
        </w:rPr>
      </w:pPr>
    </w:p>
    <w:p w14:paraId="732370F2" w14:textId="77777777" w:rsidR="00092A74" w:rsidRDefault="00092A74" w:rsidP="00092A74">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c. Estándares</w:t>
      </w:r>
    </w:p>
    <w:p w14:paraId="31B0E761"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Clasificación de las Inversiones de la Compañía</w:t>
      </w:r>
    </w:p>
    <w:p w14:paraId="6AA94AA1" w14:textId="77777777" w:rsidR="00092A74" w:rsidRPr="00092A74" w:rsidRDefault="00092A74" w:rsidP="00092A74">
      <w:pPr>
        <w:jc w:val="both"/>
        <w:rPr>
          <w:rFonts w:ascii="FS Elliot Pro" w:hAnsi="FS Elliot Pro"/>
          <w:szCs w:val="28"/>
        </w:rPr>
      </w:pPr>
      <w:r w:rsidRPr="00092A74">
        <w:rPr>
          <w:rFonts w:ascii="FS Elliot Pro" w:hAnsi="FS Elliot Pro"/>
          <w:szCs w:val="28"/>
        </w:rPr>
        <w:t xml:space="preserve">Principal Vida Chile mantiene inversiones para respaldar los siguientes productos: Rentas Vitalicias del D.L.3500, Rentas Vitalicias Privadas, Seguros con Ahorro del tipo Universal Life y Seguros de Vida e Invalidez. </w:t>
      </w:r>
    </w:p>
    <w:p w14:paraId="7BA0ECE2" w14:textId="77777777" w:rsidR="00092A74" w:rsidRDefault="00092A74" w:rsidP="00092A74">
      <w:pPr>
        <w:jc w:val="both"/>
        <w:rPr>
          <w:rFonts w:ascii="FS Elliot Pro" w:hAnsi="FS Elliot Pro"/>
          <w:szCs w:val="28"/>
        </w:rPr>
      </w:pPr>
      <w:r w:rsidRPr="00092A74">
        <w:rPr>
          <w:rFonts w:ascii="FS Elliot Pro" w:hAnsi="FS Elliot Pro"/>
          <w:szCs w:val="28"/>
        </w:rPr>
        <w:t>Las inversiones de Principal Vida Chile se pueden clasificar en tres grupos: (1) inversiones para respaldar la reserva y capital de riesgo que se generan con los productos de prima única en los cuales se asume el compromiso de pagar una renta definida en el tiempo, (2) inversiones para respaldar la reserva de ahorro (o reserva de valor del fondo) de los productos con componente de ahorro, y (3) inversiones para respaldar la reserva de riesgo de los productos que incluyen seguros de vida, invalidez u otro tipo de riesgo personal.</w:t>
      </w:r>
    </w:p>
    <w:p w14:paraId="67AC979B" w14:textId="77777777" w:rsidR="00092A74" w:rsidRPr="00092A74" w:rsidRDefault="00092A74" w:rsidP="00092A74">
      <w:pPr>
        <w:jc w:val="both"/>
        <w:rPr>
          <w:rFonts w:ascii="FS Elliot Pro" w:hAnsi="FS Elliot Pro"/>
          <w:szCs w:val="28"/>
        </w:rPr>
      </w:pPr>
    </w:p>
    <w:p w14:paraId="6340F8BD"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Identificación de las Carteras de Reservas de Ahorro</w:t>
      </w:r>
    </w:p>
    <w:p w14:paraId="4E9345EC" w14:textId="77777777" w:rsidR="00092A74" w:rsidRDefault="00092A74" w:rsidP="00092A74">
      <w:pPr>
        <w:jc w:val="both"/>
        <w:rPr>
          <w:rFonts w:ascii="FS Elliot Pro" w:hAnsi="FS Elliot Pro"/>
          <w:szCs w:val="28"/>
        </w:rPr>
      </w:pPr>
      <w:r w:rsidRPr="00092A74">
        <w:rPr>
          <w:rFonts w:ascii="FS Elliot Pro" w:hAnsi="FS Elliot Pro"/>
          <w:szCs w:val="28"/>
        </w:rPr>
        <w:t>Para el caso de las inversiones que respaldan la reserva de ahorro (o reserva de valor del fondo) de los productos con componente de ahorro, se considerarán por separado las carteras para cada uno de los productos con componente de ahorro, y en cada caso el monto de la cartera de inversiones será igual o mayor a la reserva de ahorro (o reserva de valor del fondo) de ese producto.</w:t>
      </w:r>
    </w:p>
    <w:p w14:paraId="02EE51B8" w14:textId="77777777" w:rsidR="00092A74" w:rsidRPr="00092A74" w:rsidRDefault="00092A74" w:rsidP="00092A74">
      <w:pPr>
        <w:jc w:val="both"/>
        <w:rPr>
          <w:rFonts w:ascii="FS Elliot Pro" w:hAnsi="FS Elliot Pro"/>
          <w:szCs w:val="28"/>
        </w:rPr>
      </w:pPr>
    </w:p>
    <w:p w14:paraId="0BC1B14D"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Análisis de los Riesgos Más Relevantes</w:t>
      </w:r>
    </w:p>
    <w:p w14:paraId="20BB85F5" w14:textId="77777777" w:rsidR="00092A74" w:rsidRPr="00092A74" w:rsidRDefault="00092A74" w:rsidP="00092A74">
      <w:pPr>
        <w:jc w:val="both"/>
        <w:rPr>
          <w:rFonts w:ascii="FS Elliot Pro" w:hAnsi="FS Elliot Pro"/>
          <w:szCs w:val="28"/>
        </w:rPr>
      </w:pPr>
      <w:r w:rsidRPr="002526CE">
        <w:rPr>
          <w:rFonts w:ascii="FS Elliot Pro" w:hAnsi="FS Elliot Pro"/>
          <w:color w:val="2F5496" w:themeColor="accent1" w:themeShade="BF"/>
          <w:szCs w:val="28"/>
        </w:rPr>
        <w:t xml:space="preserve">a. Riesgo de Descalce entre Flujos de Activos y Pasivos: </w:t>
      </w:r>
      <w:r w:rsidRPr="00092A74">
        <w:rPr>
          <w:rFonts w:ascii="FS Elliot Pro" w:hAnsi="FS Elliot Pro"/>
          <w:szCs w:val="28"/>
        </w:rPr>
        <w:t xml:space="preserve">Este riesgo se verá minimizado en la medida en que los activos simulen de la mejor manera posible las condiciones de rentabilidad pactadas con el cliente para el manejo de su componente de ahorro. En los casos en que las condiciones pactadas lo permitan, podrán hacerse inversiones de distinto plazo que el pasivo para buscar mayores rentabilidades siempre que las condiciones de liquidez de las inversiones permitan cumplir con los compromisos del pasivo. </w:t>
      </w:r>
    </w:p>
    <w:p w14:paraId="550ECE34" w14:textId="77777777" w:rsidR="00092A74" w:rsidRPr="00092A74" w:rsidRDefault="00092A74" w:rsidP="00092A74">
      <w:pPr>
        <w:jc w:val="both"/>
        <w:rPr>
          <w:rFonts w:ascii="FS Elliot Pro" w:hAnsi="FS Elliot Pro"/>
          <w:szCs w:val="28"/>
        </w:rPr>
      </w:pPr>
      <w:r w:rsidRPr="002526CE">
        <w:rPr>
          <w:rFonts w:ascii="FS Elliot Pro" w:hAnsi="FS Elliot Pro"/>
          <w:color w:val="2F5496" w:themeColor="accent1" w:themeShade="BF"/>
          <w:szCs w:val="28"/>
        </w:rPr>
        <w:t xml:space="preserve">b. Riesgo de Crédito: </w:t>
      </w:r>
      <w:r w:rsidRPr="00092A74">
        <w:rPr>
          <w:rFonts w:ascii="FS Elliot Pro" w:hAnsi="FS Elliot Pro"/>
          <w:szCs w:val="28"/>
        </w:rPr>
        <w:t xml:space="preserve">Para atenuar el perjuicio que podría ocasionar el incumplimiento en los pagos comprometidos por cualquier contraparte, es que se debe evitar la concentración de este riesgo mediante la diversificación, además de minimizarlo a través del análisis propio y de terceros de la capacidad de pago de la contraparte. Para el control de este riesgo es que se dispondrán de límites de inversión máxima por contraparte, los cuales se ajustarán según la evaluación que se haga de su calidad para cumplir con sus compromisos. En el caso de las Inversiones para respaldar Reservas de Ahorro, estos límites estarán supeditados a las condiciones pactadas con el cliente para el manejo de su componente de ahorro. </w:t>
      </w:r>
    </w:p>
    <w:p w14:paraId="3409730D" w14:textId="77777777" w:rsidR="00092A74" w:rsidRDefault="00092A74" w:rsidP="002526CE">
      <w:pPr>
        <w:jc w:val="both"/>
        <w:rPr>
          <w:rFonts w:ascii="FS Elliot Pro" w:hAnsi="FS Elliot Pro"/>
          <w:szCs w:val="28"/>
        </w:rPr>
      </w:pPr>
      <w:r w:rsidRPr="002526CE">
        <w:rPr>
          <w:rFonts w:ascii="FS Elliot Pro" w:hAnsi="FS Elliot Pro"/>
          <w:color w:val="2F5496" w:themeColor="accent1" w:themeShade="BF"/>
          <w:szCs w:val="28"/>
        </w:rPr>
        <w:t>c.</w:t>
      </w:r>
      <w:r w:rsidR="002526CE" w:rsidRPr="002526CE">
        <w:rPr>
          <w:rFonts w:ascii="FS Elliot Pro" w:hAnsi="FS Elliot Pro"/>
          <w:color w:val="2F5496" w:themeColor="accent1" w:themeShade="BF"/>
          <w:szCs w:val="28"/>
        </w:rPr>
        <w:t xml:space="preserve"> </w:t>
      </w:r>
      <w:r w:rsidRPr="002526CE">
        <w:rPr>
          <w:rFonts w:ascii="FS Elliot Pro" w:hAnsi="FS Elliot Pro"/>
          <w:color w:val="2F5496" w:themeColor="accent1" w:themeShade="BF"/>
          <w:szCs w:val="28"/>
        </w:rPr>
        <w:t xml:space="preserve">Riesgo de Fuertes Movimientos Adversos de Precios: </w:t>
      </w:r>
      <w:r w:rsidRPr="00092A74">
        <w:rPr>
          <w:rFonts w:ascii="FS Elliot Pro" w:hAnsi="FS Elliot Pro"/>
          <w:szCs w:val="28"/>
        </w:rPr>
        <w:t>Este riesgo sólo es relevante para aquellos instrumentos de inversión cuyos flujos no se corresponden o no calzan los flujos de pasivo, lo que puede eventualmente generar pérdidas si es que existe la obligación de vender el instrumento en condiciones desfavorables. Para el caso de Inversiones que respaldan Reservas de Ahorro, la obligación de vender puede estar asociada a retiros o rescates por parte del cliente, por lo que en general sólo se comprometerán con el cliente inversiones en instrumentos líquidos.</w:t>
      </w:r>
    </w:p>
    <w:p w14:paraId="698F86E6" w14:textId="77777777" w:rsidR="00092A74" w:rsidRPr="00092A74" w:rsidRDefault="00092A74" w:rsidP="00092A74">
      <w:pPr>
        <w:jc w:val="both"/>
        <w:rPr>
          <w:rFonts w:ascii="FS Elliot Pro" w:hAnsi="FS Elliot Pro"/>
          <w:szCs w:val="28"/>
        </w:rPr>
      </w:pPr>
    </w:p>
    <w:p w14:paraId="423702D7"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Límites por tipo de activo</w:t>
      </w:r>
    </w:p>
    <w:p w14:paraId="5374D16A" w14:textId="482292BB" w:rsidR="002526CE" w:rsidRDefault="002526CE" w:rsidP="002526CE">
      <w:pPr>
        <w:jc w:val="both"/>
        <w:rPr>
          <w:rFonts w:ascii="FS Elliot Pro" w:hAnsi="FS Elliot Pro"/>
          <w:szCs w:val="28"/>
        </w:rPr>
      </w:pPr>
      <w:r w:rsidRPr="002526CE">
        <w:rPr>
          <w:rFonts w:ascii="FS Elliot Pro" w:hAnsi="FS Elliot Pro"/>
          <w:szCs w:val="28"/>
        </w:rPr>
        <w:t xml:space="preserve">El límite para cada tipo de activo que deberá ser usado en la actividad de inversiones será el menor entre el límite regulatorio y el que se describe a continuación en esta política de inversiones. El límite regulatorio será aquel instruido por la Comisión para el Mercado Financiero (CMF) de acuerdo al D.F.L.251.La Cartera de Inversiones que respalda las Reservas de Ahorro se podrá invertir en los siguientes tipos de activos, respetando para cada tipo de activo el límite máximo que se señala respecto a la cartera: </w:t>
      </w:r>
    </w:p>
    <w:tbl>
      <w:tblPr>
        <w:tblW w:w="8789" w:type="dxa"/>
        <w:tblCellMar>
          <w:left w:w="70" w:type="dxa"/>
          <w:right w:w="70" w:type="dxa"/>
        </w:tblCellMar>
        <w:tblLook w:val="04A0" w:firstRow="1" w:lastRow="0" w:firstColumn="1" w:lastColumn="0" w:noHBand="0" w:noVBand="1"/>
      </w:tblPr>
      <w:tblGrid>
        <w:gridCol w:w="7655"/>
        <w:gridCol w:w="1134"/>
      </w:tblGrid>
      <w:tr w:rsidR="00884E49" w:rsidRPr="00884E49" w14:paraId="737EB2F1" w14:textId="77777777" w:rsidTr="003940D8">
        <w:trPr>
          <w:trHeight w:val="290"/>
        </w:trPr>
        <w:tc>
          <w:tcPr>
            <w:tcW w:w="7655" w:type="dxa"/>
            <w:tcBorders>
              <w:top w:val="nil"/>
              <w:left w:val="nil"/>
              <w:bottom w:val="nil"/>
              <w:right w:val="nil"/>
            </w:tcBorders>
            <w:shd w:val="clear" w:color="auto" w:fill="auto"/>
            <w:noWrap/>
            <w:vAlign w:val="bottom"/>
            <w:hideMark/>
          </w:tcPr>
          <w:p w14:paraId="2AB7EC6D" w14:textId="08380577" w:rsidR="00884E49" w:rsidRDefault="00884E49" w:rsidP="004801FD">
            <w:pPr>
              <w:pStyle w:val="Prrafodelista"/>
              <w:numPr>
                <w:ilvl w:val="0"/>
                <w:numId w:val="8"/>
              </w:numPr>
              <w:spacing w:after="0" w:line="240" w:lineRule="auto"/>
              <w:rPr>
                <w:rFonts w:ascii="FS Elliot Pro" w:eastAsia="Times New Roman" w:hAnsi="FS Elliot Pro" w:cs="Calibri"/>
                <w:b/>
                <w:bCs/>
                <w:color w:val="000000"/>
                <w:lang w:eastAsia="es-CL"/>
              </w:rPr>
            </w:pPr>
            <w:r w:rsidRPr="003940D8">
              <w:rPr>
                <w:rFonts w:ascii="FS Elliot Pro" w:eastAsia="Times New Roman" w:hAnsi="FS Elliot Pro" w:cs="Calibri"/>
                <w:b/>
                <w:bCs/>
                <w:color w:val="000000"/>
                <w:lang w:eastAsia="es-CL"/>
              </w:rPr>
              <w:t xml:space="preserve">Cartera para Reservas de Ahorro de Universal Life Renta Fija </w:t>
            </w:r>
          </w:p>
          <w:p w14:paraId="68364E77" w14:textId="77777777" w:rsidR="004801FD" w:rsidRPr="003940D8" w:rsidRDefault="004801FD" w:rsidP="003940D8">
            <w:pPr>
              <w:pStyle w:val="Prrafodelista"/>
              <w:spacing w:after="0" w:line="240" w:lineRule="auto"/>
              <w:rPr>
                <w:rFonts w:ascii="FS Elliot Pro" w:eastAsia="Times New Roman" w:hAnsi="FS Elliot Pro" w:cs="Calibri"/>
                <w:b/>
                <w:bCs/>
                <w:color w:val="000000"/>
                <w:lang w:eastAsia="es-CL"/>
              </w:rPr>
            </w:pPr>
          </w:p>
          <w:p w14:paraId="4E037C7B" w14:textId="7A65B404" w:rsidR="004801FD" w:rsidRPr="003940D8" w:rsidRDefault="004801FD" w:rsidP="003940D8">
            <w:pPr>
              <w:pStyle w:val="Prrafodelista"/>
              <w:spacing w:after="0" w:line="240" w:lineRule="auto"/>
              <w:rPr>
                <w:rFonts w:ascii="FS Elliot Pro" w:eastAsia="Times New Roman" w:hAnsi="FS Elliot Pro" w:cs="Calibri"/>
                <w:b/>
                <w:bCs/>
                <w:color w:val="000000"/>
                <w:lang w:eastAsia="es-CL"/>
              </w:rPr>
            </w:pPr>
          </w:p>
        </w:tc>
        <w:tc>
          <w:tcPr>
            <w:tcW w:w="1134" w:type="dxa"/>
            <w:tcBorders>
              <w:top w:val="nil"/>
              <w:left w:val="nil"/>
              <w:bottom w:val="nil"/>
              <w:right w:val="nil"/>
            </w:tcBorders>
            <w:shd w:val="clear" w:color="auto" w:fill="auto"/>
            <w:noWrap/>
            <w:vAlign w:val="bottom"/>
            <w:hideMark/>
          </w:tcPr>
          <w:p w14:paraId="76CB6215" w14:textId="77777777" w:rsidR="00884E49" w:rsidRPr="00884E49" w:rsidRDefault="00884E49" w:rsidP="00884E49">
            <w:pPr>
              <w:spacing w:after="0" w:line="240" w:lineRule="auto"/>
              <w:rPr>
                <w:rFonts w:ascii="FS Elliot Pro" w:eastAsia="Times New Roman" w:hAnsi="FS Elliot Pro" w:cs="Calibri"/>
                <w:b/>
                <w:bCs/>
                <w:color w:val="000000"/>
                <w:lang w:eastAsia="es-CL"/>
              </w:rPr>
            </w:pPr>
          </w:p>
        </w:tc>
      </w:tr>
      <w:tr w:rsidR="00884E49" w:rsidRPr="00884E49" w14:paraId="6D17C9A5" w14:textId="77777777" w:rsidTr="003940D8">
        <w:trPr>
          <w:trHeight w:val="290"/>
        </w:trPr>
        <w:tc>
          <w:tcPr>
            <w:tcW w:w="76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A3B65E" w14:textId="008DB23C" w:rsidR="00884E49" w:rsidRPr="00884E49" w:rsidRDefault="00884E49" w:rsidP="00884E49">
            <w:pPr>
              <w:spacing w:after="0" w:line="240" w:lineRule="auto"/>
              <w:rPr>
                <w:rFonts w:ascii="FS Elliot Pro" w:eastAsia="Times New Roman" w:hAnsi="FS Elliot Pro" w:cs="Calibri"/>
                <w:color w:val="000000"/>
                <w:lang w:eastAsia="es-CL"/>
              </w:rPr>
            </w:pPr>
            <w:r w:rsidRPr="00884E49">
              <w:rPr>
                <w:rFonts w:ascii="FS Elliot Pro" w:eastAsia="Times New Roman" w:hAnsi="FS Elliot Pro" w:cs="Calibri"/>
                <w:color w:val="000000"/>
                <w:lang w:eastAsia="es-CL"/>
              </w:rPr>
              <w:t>Instrumentos garantizados por el Estado de Chile o por el Banco Central de Chile</w:t>
            </w:r>
            <w:r w:rsidR="00FD1E03">
              <w:rPr>
                <w:rStyle w:val="Refdenotaalpie"/>
                <w:rFonts w:ascii="FS Elliot Pro" w:eastAsia="Times New Roman" w:hAnsi="FS Elliot Pro" w:cs="Calibri"/>
                <w:color w:val="000000"/>
                <w:lang w:eastAsia="es-CL"/>
              </w:rPr>
              <w:footnoteReference w:id="4"/>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499826DD" w14:textId="77777777" w:rsidR="00884E49" w:rsidRPr="00884E49" w:rsidRDefault="00884E49" w:rsidP="00884E49">
            <w:pPr>
              <w:spacing w:after="0" w:line="240" w:lineRule="auto"/>
              <w:jc w:val="right"/>
              <w:rPr>
                <w:rFonts w:ascii="FS Elliot Pro" w:eastAsia="Times New Roman" w:hAnsi="FS Elliot Pro" w:cs="Calibri"/>
                <w:color w:val="000000"/>
                <w:lang w:eastAsia="es-CL"/>
              </w:rPr>
            </w:pPr>
            <w:r w:rsidRPr="00884E49">
              <w:rPr>
                <w:rFonts w:ascii="FS Elliot Pro" w:eastAsia="Times New Roman" w:hAnsi="FS Elliot Pro" w:cs="Calibri"/>
                <w:color w:val="000000"/>
                <w:lang w:eastAsia="es-CL"/>
              </w:rPr>
              <w:t>100%</w:t>
            </w:r>
          </w:p>
        </w:tc>
      </w:tr>
      <w:tr w:rsidR="00884E49" w:rsidRPr="00884E49" w14:paraId="71D2B3A0" w14:textId="77777777" w:rsidTr="003940D8">
        <w:trPr>
          <w:trHeight w:val="290"/>
        </w:trPr>
        <w:tc>
          <w:tcPr>
            <w:tcW w:w="7655" w:type="dxa"/>
            <w:tcBorders>
              <w:top w:val="nil"/>
              <w:left w:val="single" w:sz="4" w:space="0" w:color="auto"/>
              <w:bottom w:val="single" w:sz="4" w:space="0" w:color="auto"/>
              <w:right w:val="single" w:sz="4" w:space="0" w:color="auto"/>
            </w:tcBorders>
            <w:shd w:val="clear" w:color="auto" w:fill="auto"/>
            <w:noWrap/>
            <w:vAlign w:val="bottom"/>
            <w:hideMark/>
          </w:tcPr>
          <w:p w14:paraId="449FA538" w14:textId="1C52903F" w:rsidR="00884E49" w:rsidRPr="00884E49" w:rsidRDefault="00884E49" w:rsidP="00884E49">
            <w:pPr>
              <w:spacing w:after="0" w:line="240" w:lineRule="auto"/>
              <w:rPr>
                <w:rFonts w:ascii="FS Elliot Pro" w:eastAsia="Times New Roman" w:hAnsi="FS Elliot Pro" w:cs="Calibri"/>
                <w:color w:val="000000"/>
                <w:lang w:eastAsia="es-CL"/>
              </w:rPr>
            </w:pPr>
            <w:r w:rsidRPr="00884E49">
              <w:rPr>
                <w:rFonts w:ascii="FS Elliot Pro" w:eastAsia="Times New Roman" w:hAnsi="FS Elliot Pro" w:cs="Calibri"/>
                <w:color w:val="000000"/>
                <w:lang w:eastAsia="es-CL"/>
              </w:rPr>
              <w:t xml:space="preserve">Letras Hipotecarias emitidas en Chile </w:t>
            </w:r>
            <w:r w:rsidR="00FD1E03">
              <w:rPr>
                <w:rStyle w:val="Refdenotaalpie"/>
                <w:rFonts w:ascii="FS Elliot Pro" w:eastAsia="Times New Roman" w:hAnsi="FS Elliot Pro" w:cs="Calibri"/>
                <w:color w:val="000000"/>
                <w:lang w:eastAsia="es-CL"/>
              </w:rPr>
              <w:footnoteReference w:id="5"/>
            </w:r>
          </w:p>
        </w:tc>
        <w:tc>
          <w:tcPr>
            <w:tcW w:w="1134" w:type="dxa"/>
            <w:tcBorders>
              <w:top w:val="nil"/>
              <w:left w:val="nil"/>
              <w:bottom w:val="single" w:sz="4" w:space="0" w:color="auto"/>
              <w:right w:val="single" w:sz="4" w:space="0" w:color="auto"/>
            </w:tcBorders>
            <w:shd w:val="clear" w:color="auto" w:fill="auto"/>
            <w:noWrap/>
            <w:vAlign w:val="bottom"/>
            <w:hideMark/>
          </w:tcPr>
          <w:p w14:paraId="3B922CEF" w14:textId="77777777" w:rsidR="00884E49" w:rsidRPr="00884E49" w:rsidRDefault="00884E49" w:rsidP="00884E49">
            <w:pPr>
              <w:spacing w:after="0" w:line="240" w:lineRule="auto"/>
              <w:jc w:val="right"/>
              <w:rPr>
                <w:rFonts w:ascii="FS Elliot Pro" w:eastAsia="Times New Roman" w:hAnsi="FS Elliot Pro" w:cs="Calibri"/>
                <w:color w:val="000000"/>
                <w:lang w:eastAsia="es-CL"/>
              </w:rPr>
            </w:pPr>
            <w:r w:rsidRPr="00884E49">
              <w:rPr>
                <w:rFonts w:ascii="FS Elliot Pro" w:eastAsia="Times New Roman" w:hAnsi="FS Elliot Pro" w:cs="Calibri"/>
                <w:color w:val="000000"/>
                <w:lang w:eastAsia="es-CL"/>
              </w:rPr>
              <w:t>100%</w:t>
            </w:r>
          </w:p>
        </w:tc>
      </w:tr>
      <w:tr w:rsidR="00884E49" w:rsidRPr="00884E49" w14:paraId="32325FDF" w14:textId="77777777" w:rsidTr="003940D8">
        <w:trPr>
          <w:trHeight w:val="290"/>
        </w:trPr>
        <w:tc>
          <w:tcPr>
            <w:tcW w:w="7655" w:type="dxa"/>
            <w:tcBorders>
              <w:top w:val="nil"/>
              <w:left w:val="single" w:sz="4" w:space="0" w:color="auto"/>
              <w:bottom w:val="single" w:sz="4" w:space="0" w:color="auto"/>
              <w:right w:val="single" w:sz="4" w:space="0" w:color="auto"/>
            </w:tcBorders>
            <w:shd w:val="clear" w:color="auto" w:fill="auto"/>
            <w:noWrap/>
            <w:vAlign w:val="bottom"/>
            <w:hideMark/>
          </w:tcPr>
          <w:p w14:paraId="3B41E30F" w14:textId="7FE87CBF" w:rsidR="00884E49" w:rsidRPr="00884E49" w:rsidRDefault="00884E49" w:rsidP="00884E49">
            <w:pPr>
              <w:spacing w:after="0" w:line="240" w:lineRule="auto"/>
              <w:rPr>
                <w:rFonts w:ascii="FS Elliot Pro" w:eastAsia="Times New Roman" w:hAnsi="FS Elliot Pro" w:cs="Calibri"/>
                <w:color w:val="000000"/>
                <w:lang w:eastAsia="es-CL"/>
              </w:rPr>
            </w:pPr>
            <w:r w:rsidRPr="00884E49">
              <w:rPr>
                <w:rFonts w:ascii="FS Elliot Pro" w:eastAsia="Times New Roman" w:hAnsi="FS Elliot Pro" w:cs="Calibri"/>
                <w:color w:val="000000"/>
                <w:lang w:eastAsia="es-CL"/>
              </w:rPr>
              <w:t>Instrumentos garantizados por Instituciones Bancarias en Chile</w:t>
            </w:r>
            <w:r w:rsidR="00FD1E03">
              <w:rPr>
                <w:rStyle w:val="Refdenotaalpie"/>
                <w:rFonts w:ascii="FS Elliot Pro" w:eastAsia="Times New Roman" w:hAnsi="FS Elliot Pro" w:cs="Calibri"/>
                <w:color w:val="000000"/>
                <w:lang w:eastAsia="es-CL"/>
              </w:rPr>
              <w:footnoteReference w:id="6"/>
            </w:r>
          </w:p>
        </w:tc>
        <w:tc>
          <w:tcPr>
            <w:tcW w:w="1134" w:type="dxa"/>
            <w:tcBorders>
              <w:top w:val="nil"/>
              <w:left w:val="nil"/>
              <w:bottom w:val="single" w:sz="4" w:space="0" w:color="auto"/>
              <w:right w:val="single" w:sz="4" w:space="0" w:color="auto"/>
            </w:tcBorders>
            <w:shd w:val="clear" w:color="auto" w:fill="auto"/>
            <w:noWrap/>
            <w:vAlign w:val="bottom"/>
            <w:hideMark/>
          </w:tcPr>
          <w:p w14:paraId="69B07982" w14:textId="77777777" w:rsidR="00884E49" w:rsidRPr="00884E49" w:rsidRDefault="00884E49" w:rsidP="00884E49">
            <w:pPr>
              <w:spacing w:after="0" w:line="240" w:lineRule="auto"/>
              <w:jc w:val="right"/>
              <w:rPr>
                <w:rFonts w:ascii="FS Elliot Pro" w:eastAsia="Times New Roman" w:hAnsi="FS Elliot Pro" w:cs="Calibri"/>
                <w:color w:val="000000"/>
                <w:lang w:eastAsia="es-CL"/>
              </w:rPr>
            </w:pPr>
            <w:r w:rsidRPr="00884E49">
              <w:rPr>
                <w:rFonts w:ascii="FS Elliot Pro" w:eastAsia="Times New Roman" w:hAnsi="FS Elliot Pro" w:cs="Calibri"/>
                <w:color w:val="000000"/>
                <w:lang w:eastAsia="es-CL"/>
              </w:rPr>
              <w:t>100%</w:t>
            </w:r>
          </w:p>
        </w:tc>
      </w:tr>
      <w:tr w:rsidR="00884E49" w:rsidRPr="00884E49" w14:paraId="32C820F0" w14:textId="77777777" w:rsidTr="003940D8">
        <w:trPr>
          <w:trHeight w:val="290"/>
        </w:trPr>
        <w:tc>
          <w:tcPr>
            <w:tcW w:w="7655" w:type="dxa"/>
            <w:tcBorders>
              <w:top w:val="nil"/>
              <w:left w:val="single" w:sz="4" w:space="0" w:color="auto"/>
              <w:bottom w:val="single" w:sz="4" w:space="0" w:color="auto"/>
              <w:right w:val="single" w:sz="4" w:space="0" w:color="auto"/>
            </w:tcBorders>
            <w:shd w:val="clear" w:color="auto" w:fill="auto"/>
            <w:noWrap/>
            <w:vAlign w:val="bottom"/>
            <w:hideMark/>
          </w:tcPr>
          <w:p w14:paraId="5194BA37" w14:textId="6668F060" w:rsidR="00884E49" w:rsidRPr="00884E49" w:rsidRDefault="00884E49" w:rsidP="00884E49">
            <w:pPr>
              <w:spacing w:after="0" w:line="240" w:lineRule="auto"/>
              <w:rPr>
                <w:rFonts w:ascii="FS Elliot Pro" w:eastAsia="Times New Roman" w:hAnsi="FS Elliot Pro" w:cs="Calibri"/>
                <w:color w:val="000000"/>
                <w:lang w:eastAsia="es-CL"/>
              </w:rPr>
            </w:pPr>
            <w:r w:rsidRPr="00884E49">
              <w:rPr>
                <w:rFonts w:ascii="FS Elliot Pro" w:eastAsia="Times New Roman" w:hAnsi="FS Elliot Pro" w:cs="Calibri"/>
                <w:color w:val="000000"/>
                <w:lang w:eastAsia="es-CL"/>
              </w:rPr>
              <w:t>Bonos Corporativos de Empresas constituidas en Chile</w:t>
            </w:r>
            <w:r w:rsidR="00FD1E03">
              <w:rPr>
                <w:rStyle w:val="Refdenotaalpie"/>
              </w:rPr>
              <w:t>7</w:t>
            </w:r>
          </w:p>
        </w:tc>
        <w:tc>
          <w:tcPr>
            <w:tcW w:w="1134" w:type="dxa"/>
            <w:tcBorders>
              <w:top w:val="nil"/>
              <w:left w:val="nil"/>
              <w:bottom w:val="single" w:sz="4" w:space="0" w:color="auto"/>
              <w:right w:val="single" w:sz="4" w:space="0" w:color="auto"/>
            </w:tcBorders>
            <w:shd w:val="clear" w:color="auto" w:fill="auto"/>
            <w:noWrap/>
            <w:vAlign w:val="bottom"/>
            <w:hideMark/>
          </w:tcPr>
          <w:p w14:paraId="51B89F67" w14:textId="77777777" w:rsidR="00884E49" w:rsidRPr="00884E49" w:rsidRDefault="00884E49" w:rsidP="00884E49">
            <w:pPr>
              <w:spacing w:after="0" w:line="240" w:lineRule="auto"/>
              <w:jc w:val="right"/>
              <w:rPr>
                <w:rFonts w:ascii="FS Elliot Pro" w:eastAsia="Times New Roman" w:hAnsi="FS Elliot Pro" w:cs="Calibri"/>
                <w:color w:val="000000"/>
                <w:lang w:eastAsia="es-CL"/>
              </w:rPr>
            </w:pPr>
            <w:r w:rsidRPr="00884E49">
              <w:rPr>
                <w:rFonts w:ascii="FS Elliot Pro" w:eastAsia="Times New Roman" w:hAnsi="FS Elliot Pro" w:cs="Calibri"/>
                <w:color w:val="000000"/>
                <w:lang w:eastAsia="es-CL"/>
              </w:rPr>
              <w:t>50%</w:t>
            </w:r>
          </w:p>
        </w:tc>
      </w:tr>
    </w:tbl>
    <w:p w14:paraId="0BDAC80C" w14:textId="77777777" w:rsidR="002526CE" w:rsidRPr="002526CE" w:rsidRDefault="002526CE" w:rsidP="002526CE">
      <w:pPr>
        <w:jc w:val="both"/>
        <w:rPr>
          <w:rFonts w:ascii="FS Elliot Pro" w:hAnsi="FS Elliot Pro"/>
          <w:szCs w:val="28"/>
        </w:rPr>
      </w:pPr>
    </w:p>
    <w:p w14:paraId="633935D8" w14:textId="0F4F270B" w:rsidR="002526CE" w:rsidRPr="003940D8" w:rsidRDefault="002526CE" w:rsidP="003940D8">
      <w:pPr>
        <w:pStyle w:val="Prrafodelista"/>
        <w:numPr>
          <w:ilvl w:val="0"/>
          <w:numId w:val="8"/>
        </w:numPr>
        <w:jc w:val="both"/>
        <w:rPr>
          <w:rFonts w:ascii="FS Elliot Pro" w:hAnsi="FS Elliot Pro"/>
          <w:b/>
          <w:bCs/>
          <w:szCs w:val="28"/>
        </w:rPr>
      </w:pPr>
      <w:r w:rsidRPr="003940D8">
        <w:rPr>
          <w:rFonts w:ascii="FS Elliot Pro" w:hAnsi="FS Elliot Pro"/>
          <w:b/>
          <w:bCs/>
          <w:szCs w:val="28"/>
        </w:rPr>
        <w:t xml:space="preserve">Cartera para Reservas de Ahorro de Universal Life Renta Mixta </w:t>
      </w:r>
    </w:p>
    <w:tbl>
      <w:tblPr>
        <w:tblW w:w="8784" w:type="dxa"/>
        <w:tblCellMar>
          <w:left w:w="70" w:type="dxa"/>
          <w:right w:w="70" w:type="dxa"/>
        </w:tblCellMar>
        <w:tblLook w:val="04A0" w:firstRow="1" w:lastRow="0" w:firstColumn="1" w:lastColumn="0" w:noHBand="0" w:noVBand="1"/>
      </w:tblPr>
      <w:tblGrid>
        <w:gridCol w:w="7650"/>
        <w:gridCol w:w="1134"/>
      </w:tblGrid>
      <w:tr w:rsidR="00EB62D4" w:rsidRPr="00EB62D4" w14:paraId="1C5A3FAA" w14:textId="77777777" w:rsidTr="003940D8">
        <w:trPr>
          <w:trHeight w:val="290"/>
        </w:trPr>
        <w:tc>
          <w:tcPr>
            <w:tcW w:w="76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DEA235" w14:textId="04D3C156" w:rsidR="00EB62D4" w:rsidRPr="00EB62D4" w:rsidRDefault="00EB62D4" w:rsidP="00EB62D4">
            <w:pPr>
              <w:spacing w:after="0" w:line="240" w:lineRule="auto"/>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Instrumentos garantizados por el Estado de Chile o por el Banco Central de Chile</w:t>
            </w:r>
            <w:r w:rsidR="002448F5">
              <w:rPr>
                <w:rStyle w:val="Refdenotaalpie"/>
              </w:rPr>
              <w:t>7</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6101C7C8" w14:textId="77777777" w:rsidR="00EB62D4" w:rsidRPr="00EB62D4" w:rsidRDefault="00EB62D4" w:rsidP="00EB62D4">
            <w:pPr>
              <w:spacing w:after="0" w:line="240" w:lineRule="auto"/>
              <w:jc w:val="right"/>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100%</w:t>
            </w:r>
          </w:p>
        </w:tc>
      </w:tr>
      <w:tr w:rsidR="00EB62D4" w:rsidRPr="00EB62D4" w14:paraId="6E96E38A" w14:textId="77777777" w:rsidTr="003940D8">
        <w:trPr>
          <w:trHeight w:val="290"/>
        </w:trPr>
        <w:tc>
          <w:tcPr>
            <w:tcW w:w="7650" w:type="dxa"/>
            <w:tcBorders>
              <w:top w:val="nil"/>
              <w:left w:val="single" w:sz="4" w:space="0" w:color="auto"/>
              <w:bottom w:val="single" w:sz="4" w:space="0" w:color="auto"/>
              <w:right w:val="single" w:sz="4" w:space="0" w:color="auto"/>
            </w:tcBorders>
            <w:shd w:val="clear" w:color="auto" w:fill="auto"/>
            <w:noWrap/>
            <w:vAlign w:val="bottom"/>
            <w:hideMark/>
          </w:tcPr>
          <w:p w14:paraId="4D4927D6" w14:textId="784909ED" w:rsidR="00EB62D4" w:rsidRPr="00EB62D4" w:rsidRDefault="00EB62D4" w:rsidP="00EB62D4">
            <w:pPr>
              <w:spacing w:after="0" w:line="240" w:lineRule="auto"/>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Letras Hipotecarias emitidas en Chile</w:t>
            </w:r>
            <w:r w:rsidR="002448F5">
              <w:rPr>
                <w:rStyle w:val="Refdenotaalpie"/>
              </w:rPr>
              <w:t>8</w:t>
            </w:r>
          </w:p>
        </w:tc>
        <w:tc>
          <w:tcPr>
            <w:tcW w:w="1134" w:type="dxa"/>
            <w:tcBorders>
              <w:top w:val="nil"/>
              <w:left w:val="nil"/>
              <w:bottom w:val="single" w:sz="4" w:space="0" w:color="auto"/>
              <w:right w:val="single" w:sz="4" w:space="0" w:color="auto"/>
            </w:tcBorders>
            <w:shd w:val="clear" w:color="auto" w:fill="auto"/>
            <w:noWrap/>
            <w:vAlign w:val="bottom"/>
            <w:hideMark/>
          </w:tcPr>
          <w:p w14:paraId="0A8A16BC" w14:textId="77777777" w:rsidR="00EB62D4" w:rsidRPr="00EB62D4" w:rsidRDefault="00EB62D4" w:rsidP="00EB62D4">
            <w:pPr>
              <w:spacing w:after="0" w:line="240" w:lineRule="auto"/>
              <w:jc w:val="right"/>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100%</w:t>
            </w:r>
          </w:p>
        </w:tc>
      </w:tr>
      <w:tr w:rsidR="00EB62D4" w:rsidRPr="00EB62D4" w14:paraId="6C8B3FF3" w14:textId="77777777" w:rsidTr="003940D8">
        <w:trPr>
          <w:trHeight w:val="290"/>
        </w:trPr>
        <w:tc>
          <w:tcPr>
            <w:tcW w:w="7650" w:type="dxa"/>
            <w:tcBorders>
              <w:top w:val="nil"/>
              <w:left w:val="single" w:sz="4" w:space="0" w:color="auto"/>
              <w:bottom w:val="single" w:sz="4" w:space="0" w:color="auto"/>
              <w:right w:val="single" w:sz="4" w:space="0" w:color="auto"/>
            </w:tcBorders>
            <w:shd w:val="clear" w:color="auto" w:fill="auto"/>
            <w:noWrap/>
            <w:vAlign w:val="bottom"/>
            <w:hideMark/>
          </w:tcPr>
          <w:p w14:paraId="2DA41CA5" w14:textId="0818CE62" w:rsidR="00EB62D4" w:rsidRPr="00EB62D4" w:rsidRDefault="00EB62D4" w:rsidP="00EB62D4">
            <w:pPr>
              <w:spacing w:after="0" w:line="240" w:lineRule="auto"/>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Instrumentos garantizados por Instituciones Bancarias en Chile</w:t>
            </w:r>
            <w:r w:rsidR="002448F5">
              <w:rPr>
                <w:rStyle w:val="Refdenotaalpie"/>
              </w:rPr>
              <w:t>9</w:t>
            </w:r>
          </w:p>
        </w:tc>
        <w:tc>
          <w:tcPr>
            <w:tcW w:w="1134" w:type="dxa"/>
            <w:tcBorders>
              <w:top w:val="nil"/>
              <w:left w:val="nil"/>
              <w:bottom w:val="single" w:sz="4" w:space="0" w:color="auto"/>
              <w:right w:val="single" w:sz="4" w:space="0" w:color="auto"/>
            </w:tcBorders>
            <w:shd w:val="clear" w:color="auto" w:fill="auto"/>
            <w:noWrap/>
            <w:vAlign w:val="bottom"/>
            <w:hideMark/>
          </w:tcPr>
          <w:p w14:paraId="0BEBB4FF" w14:textId="77777777" w:rsidR="00EB62D4" w:rsidRPr="00EB62D4" w:rsidRDefault="00EB62D4" w:rsidP="00EB62D4">
            <w:pPr>
              <w:spacing w:after="0" w:line="240" w:lineRule="auto"/>
              <w:jc w:val="right"/>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100%</w:t>
            </w:r>
          </w:p>
        </w:tc>
      </w:tr>
      <w:tr w:rsidR="00EB62D4" w:rsidRPr="00EB62D4" w14:paraId="187F13B8" w14:textId="77777777" w:rsidTr="003940D8">
        <w:trPr>
          <w:trHeight w:val="290"/>
        </w:trPr>
        <w:tc>
          <w:tcPr>
            <w:tcW w:w="7650" w:type="dxa"/>
            <w:tcBorders>
              <w:top w:val="nil"/>
              <w:left w:val="single" w:sz="4" w:space="0" w:color="auto"/>
              <w:bottom w:val="single" w:sz="4" w:space="0" w:color="auto"/>
              <w:right w:val="single" w:sz="4" w:space="0" w:color="auto"/>
            </w:tcBorders>
            <w:shd w:val="clear" w:color="auto" w:fill="auto"/>
            <w:noWrap/>
            <w:vAlign w:val="bottom"/>
            <w:hideMark/>
          </w:tcPr>
          <w:p w14:paraId="352138A7" w14:textId="32EDC345" w:rsidR="00EB62D4" w:rsidRPr="00EB62D4" w:rsidRDefault="00EB62D4" w:rsidP="00EB62D4">
            <w:pPr>
              <w:spacing w:after="0" w:line="240" w:lineRule="auto"/>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Bonos Corporativos de Empresas constituidas en Chile</w:t>
            </w:r>
            <w:r w:rsidR="00E03DDF">
              <w:rPr>
                <w:rStyle w:val="Refdenotaalpie"/>
              </w:rPr>
              <w:t>7</w:t>
            </w:r>
          </w:p>
        </w:tc>
        <w:tc>
          <w:tcPr>
            <w:tcW w:w="1134" w:type="dxa"/>
            <w:tcBorders>
              <w:top w:val="nil"/>
              <w:left w:val="nil"/>
              <w:bottom w:val="single" w:sz="4" w:space="0" w:color="auto"/>
              <w:right w:val="single" w:sz="4" w:space="0" w:color="auto"/>
            </w:tcBorders>
            <w:shd w:val="clear" w:color="auto" w:fill="auto"/>
            <w:noWrap/>
            <w:vAlign w:val="bottom"/>
            <w:hideMark/>
          </w:tcPr>
          <w:p w14:paraId="56871D62" w14:textId="77777777" w:rsidR="00EB62D4" w:rsidRPr="00EB62D4" w:rsidRDefault="00EB62D4" w:rsidP="00EB62D4">
            <w:pPr>
              <w:spacing w:after="0" w:line="240" w:lineRule="auto"/>
              <w:jc w:val="right"/>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50%</w:t>
            </w:r>
          </w:p>
        </w:tc>
      </w:tr>
      <w:tr w:rsidR="00EB62D4" w:rsidRPr="00EB62D4" w14:paraId="4E453341" w14:textId="77777777" w:rsidTr="003940D8">
        <w:trPr>
          <w:trHeight w:val="290"/>
        </w:trPr>
        <w:tc>
          <w:tcPr>
            <w:tcW w:w="7650" w:type="dxa"/>
            <w:tcBorders>
              <w:top w:val="nil"/>
              <w:left w:val="single" w:sz="4" w:space="0" w:color="auto"/>
              <w:bottom w:val="single" w:sz="4" w:space="0" w:color="auto"/>
              <w:right w:val="single" w:sz="4" w:space="0" w:color="auto"/>
            </w:tcBorders>
            <w:shd w:val="clear" w:color="auto" w:fill="auto"/>
            <w:noWrap/>
            <w:vAlign w:val="bottom"/>
            <w:hideMark/>
          </w:tcPr>
          <w:p w14:paraId="5E242886" w14:textId="77777777" w:rsidR="00EB62D4" w:rsidRPr="00EB62D4" w:rsidRDefault="00EB62D4" w:rsidP="00EB62D4">
            <w:pPr>
              <w:spacing w:after="0" w:line="240" w:lineRule="auto"/>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 xml:space="preserve">Acciones de Empresas constituidas en Chile </w:t>
            </w:r>
          </w:p>
        </w:tc>
        <w:tc>
          <w:tcPr>
            <w:tcW w:w="1134" w:type="dxa"/>
            <w:tcBorders>
              <w:top w:val="nil"/>
              <w:left w:val="nil"/>
              <w:bottom w:val="single" w:sz="4" w:space="0" w:color="auto"/>
              <w:right w:val="single" w:sz="4" w:space="0" w:color="auto"/>
            </w:tcBorders>
            <w:shd w:val="clear" w:color="auto" w:fill="auto"/>
            <w:noWrap/>
            <w:vAlign w:val="bottom"/>
            <w:hideMark/>
          </w:tcPr>
          <w:p w14:paraId="2C337CBD" w14:textId="77777777" w:rsidR="00EB62D4" w:rsidRPr="00EB62D4" w:rsidRDefault="00EB62D4" w:rsidP="00EB62D4">
            <w:pPr>
              <w:spacing w:after="0" w:line="240" w:lineRule="auto"/>
              <w:jc w:val="right"/>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50%</w:t>
            </w:r>
          </w:p>
        </w:tc>
      </w:tr>
      <w:tr w:rsidR="00EB62D4" w:rsidRPr="00EB62D4" w14:paraId="1C4D67E9" w14:textId="77777777" w:rsidTr="003940D8">
        <w:trPr>
          <w:trHeight w:val="290"/>
        </w:trPr>
        <w:tc>
          <w:tcPr>
            <w:tcW w:w="7650" w:type="dxa"/>
            <w:tcBorders>
              <w:top w:val="nil"/>
              <w:left w:val="single" w:sz="4" w:space="0" w:color="auto"/>
              <w:bottom w:val="single" w:sz="4" w:space="0" w:color="auto"/>
              <w:right w:val="single" w:sz="4" w:space="0" w:color="auto"/>
            </w:tcBorders>
            <w:shd w:val="clear" w:color="auto" w:fill="auto"/>
            <w:noWrap/>
            <w:vAlign w:val="bottom"/>
            <w:hideMark/>
          </w:tcPr>
          <w:p w14:paraId="4FCC2139" w14:textId="77777777" w:rsidR="00EB62D4" w:rsidRPr="00EB62D4" w:rsidRDefault="00EB62D4" w:rsidP="00EB62D4">
            <w:pPr>
              <w:spacing w:after="0" w:line="240" w:lineRule="auto"/>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ETFs</w:t>
            </w:r>
          </w:p>
        </w:tc>
        <w:tc>
          <w:tcPr>
            <w:tcW w:w="1134" w:type="dxa"/>
            <w:tcBorders>
              <w:top w:val="nil"/>
              <w:left w:val="nil"/>
              <w:bottom w:val="single" w:sz="4" w:space="0" w:color="auto"/>
              <w:right w:val="single" w:sz="4" w:space="0" w:color="auto"/>
            </w:tcBorders>
            <w:shd w:val="clear" w:color="auto" w:fill="auto"/>
            <w:noWrap/>
            <w:vAlign w:val="bottom"/>
            <w:hideMark/>
          </w:tcPr>
          <w:p w14:paraId="65237507" w14:textId="77777777" w:rsidR="00EB62D4" w:rsidRPr="00EB62D4" w:rsidRDefault="00EB62D4" w:rsidP="00EB62D4">
            <w:pPr>
              <w:spacing w:after="0" w:line="240" w:lineRule="auto"/>
              <w:jc w:val="right"/>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50%</w:t>
            </w:r>
          </w:p>
        </w:tc>
      </w:tr>
      <w:tr w:rsidR="00EB62D4" w:rsidRPr="00EB62D4" w14:paraId="415101EF" w14:textId="77777777" w:rsidTr="003940D8">
        <w:trPr>
          <w:trHeight w:val="290"/>
        </w:trPr>
        <w:tc>
          <w:tcPr>
            <w:tcW w:w="7650" w:type="dxa"/>
            <w:tcBorders>
              <w:top w:val="nil"/>
              <w:left w:val="single" w:sz="4" w:space="0" w:color="auto"/>
              <w:bottom w:val="single" w:sz="4" w:space="0" w:color="auto"/>
              <w:right w:val="single" w:sz="4" w:space="0" w:color="auto"/>
            </w:tcBorders>
            <w:shd w:val="clear" w:color="auto" w:fill="auto"/>
            <w:noWrap/>
            <w:vAlign w:val="bottom"/>
            <w:hideMark/>
          </w:tcPr>
          <w:p w14:paraId="60980B5E" w14:textId="77777777" w:rsidR="00EB62D4" w:rsidRPr="00EB62D4" w:rsidRDefault="00EB62D4" w:rsidP="00EB62D4">
            <w:pPr>
              <w:spacing w:after="0" w:line="240" w:lineRule="auto"/>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 xml:space="preserve">Cuotas de Fondos Mutuos </w:t>
            </w:r>
          </w:p>
        </w:tc>
        <w:tc>
          <w:tcPr>
            <w:tcW w:w="1134" w:type="dxa"/>
            <w:tcBorders>
              <w:top w:val="nil"/>
              <w:left w:val="nil"/>
              <w:bottom w:val="single" w:sz="4" w:space="0" w:color="auto"/>
              <w:right w:val="single" w:sz="4" w:space="0" w:color="auto"/>
            </w:tcBorders>
            <w:shd w:val="clear" w:color="auto" w:fill="auto"/>
            <w:noWrap/>
            <w:vAlign w:val="bottom"/>
            <w:hideMark/>
          </w:tcPr>
          <w:p w14:paraId="43F8F80E" w14:textId="77777777" w:rsidR="00EB62D4" w:rsidRPr="00EB62D4" w:rsidRDefault="00EB62D4" w:rsidP="00EB62D4">
            <w:pPr>
              <w:spacing w:after="0" w:line="240" w:lineRule="auto"/>
              <w:jc w:val="right"/>
              <w:rPr>
                <w:rFonts w:ascii="FS Elliot Pro" w:eastAsia="Times New Roman" w:hAnsi="FS Elliot Pro" w:cs="Calibri"/>
                <w:color w:val="000000"/>
                <w:lang w:eastAsia="es-CL"/>
              </w:rPr>
            </w:pPr>
            <w:r w:rsidRPr="00EB62D4">
              <w:rPr>
                <w:rFonts w:ascii="FS Elliot Pro" w:eastAsia="Times New Roman" w:hAnsi="FS Elliot Pro" w:cs="Calibri"/>
                <w:color w:val="000000"/>
                <w:lang w:eastAsia="es-CL"/>
              </w:rPr>
              <w:t>50%</w:t>
            </w:r>
          </w:p>
        </w:tc>
      </w:tr>
    </w:tbl>
    <w:p w14:paraId="3432E17F" w14:textId="77777777" w:rsidR="00EB62D4" w:rsidRPr="003940D8" w:rsidRDefault="00EB62D4">
      <w:pPr>
        <w:jc w:val="both"/>
        <w:rPr>
          <w:rFonts w:ascii="FS Elliot Pro" w:hAnsi="FS Elliot Pro"/>
          <w:szCs w:val="28"/>
        </w:rPr>
      </w:pPr>
    </w:p>
    <w:p w14:paraId="6F991F88" w14:textId="77777777" w:rsidR="002526CE" w:rsidRDefault="002526CE" w:rsidP="002526CE">
      <w:pPr>
        <w:jc w:val="both"/>
        <w:rPr>
          <w:rFonts w:ascii="FS Elliot Pro" w:hAnsi="FS Elliot Pro"/>
          <w:szCs w:val="28"/>
        </w:rPr>
      </w:pPr>
      <w:r w:rsidRPr="002526CE">
        <w:rPr>
          <w:rFonts w:ascii="FS Elliot Pro" w:hAnsi="FS Elliot Pro"/>
          <w:szCs w:val="28"/>
        </w:rPr>
        <w:t>Será aceptado invertir en los tipos de activos definidos arriba indirectamente a través de algún vehículo o estructura de inversión, como ser una sociedad filial o un fondo mutuo, lo que puede resultar en la incorporación de un tipo de activo que no está expresamente autorizado por esta política. Esto será aceptado sólo si se confirma sin lugar a dudas que la exposición final de esta inversión es a los tipos de activos aprobados arriba. En este caso, los límites de diversificación se aplicarán sobre los activos subyacentes siempre que el vehículo o la estructura de inversión no agregue riesgo de crédito por sí misma. Si ocurriera que el vehículo o la estructura agregan algún riesgo de crédito, se requerirá una autorización especial del Comité de Inversiones Local.</w:t>
      </w:r>
    </w:p>
    <w:p w14:paraId="605BA129" w14:textId="77777777" w:rsidR="002526CE" w:rsidRPr="002526CE" w:rsidRDefault="002526CE" w:rsidP="002526CE">
      <w:pPr>
        <w:jc w:val="both"/>
        <w:rPr>
          <w:rFonts w:ascii="FS Elliot Pro" w:hAnsi="FS Elliot Pro"/>
          <w:szCs w:val="28"/>
        </w:rPr>
      </w:pPr>
    </w:p>
    <w:p w14:paraId="36428C5E"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Límites por emisor</w:t>
      </w:r>
    </w:p>
    <w:p w14:paraId="320FD042" w14:textId="77777777" w:rsidR="002526CE" w:rsidRDefault="002526CE" w:rsidP="002526CE">
      <w:pPr>
        <w:jc w:val="both"/>
        <w:rPr>
          <w:rFonts w:ascii="FS Elliot Pro" w:hAnsi="FS Elliot Pro"/>
          <w:szCs w:val="28"/>
        </w:rPr>
      </w:pPr>
      <w:r w:rsidRPr="002526CE">
        <w:rPr>
          <w:rFonts w:ascii="FS Elliot Pro" w:hAnsi="FS Elliot Pro"/>
          <w:szCs w:val="28"/>
        </w:rPr>
        <w:t>El límite por emisor que deberá ser usado en la actividad de inversiones será el límite regulatorio instruido por la Comisión para el Mercado Financiero (CMF) de acuerdo al D.F.L.251.</w:t>
      </w:r>
    </w:p>
    <w:p w14:paraId="23B55336" w14:textId="77777777" w:rsidR="002526CE" w:rsidRPr="002526CE" w:rsidRDefault="002526CE" w:rsidP="002526CE">
      <w:pPr>
        <w:jc w:val="both"/>
        <w:rPr>
          <w:rFonts w:ascii="FS Elliot Pro" w:hAnsi="FS Elliot Pro"/>
          <w:szCs w:val="28"/>
        </w:rPr>
      </w:pPr>
    </w:p>
    <w:p w14:paraId="51875FC4"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Límites por moneda</w:t>
      </w:r>
    </w:p>
    <w:p w14:paraId="5171B6A6" w14:textId="77777777" w:rsidR="002526CE" w:rsidRPr="002526CE" w:rsidRDefault="002526CE" w:rsidP="002526CE">
      <w:pPr>
        <w:jc w:val="both"/>
        <w:rPr>
          <w:rFonts w:ascii="FS Elliot Pro" w:hAnsi="FS Elliot Pro"/>
          <w:szCs w:val="28"/>
        </w:rPr>
      </w:pPr>
      <w:r w:rsidRPr="002526CE">
        <w:rPr>
          <w:rFonts w:ascii="FS Elliot Pro" w:hAnsi="FS Elliot Pro"/>
          <w:szCs w:val="28"/>
        </w:rPr>
        <w:t>Los activos deberán estar al menos en un 90% invertido en activos denominados en la misma moneda de la Reserva de Ahorro. Para estos efectos, se considerarán las monedas UF, IVP y PESOS como equivalentes.</w:t>
      </w:r>
    </w:p>
    <w:p w14:paraId="1278CCFC" w14:textId="77777777" w:rsidR="002526CE" w:rsidRPr="002526CE" w:rsidRDefault="002526CE" w:rsidP="002526CE">
      <w:pPr>
        <w:jc w:val="both"/>
        <w:rPr>
          <w:rFonts w:ascii="FS Elliot Pro" w:hAnsi="FS Elliot Pro"/>
          <w:b/>
          <w:color w:val="2F5496" w:themeColor="accent1" w:themeShade="BF"/>
          <w:szCs w:val="28"/>
        </w:rPr>
      </w:pPr>
    </w:p>
    <w:p w14:paraId="3F5C8862"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Límites de liquidez</w:t>
      </w:r>
    </w:p>
    <w:p w14:paraId="5BE8F137" w14:textId="77777777" w:rsidR="002526CE" w:rsidRPr="002526CE" w:rsidRDefault="002526CE" w:rsidP="002526CE">
      <w:pPr>
        <w:jc w:val="both"/>
        <w:rPr>
          <w:rFonts w:ascii="FS Elliot Pro" w:hAnsi="FS Elliot Pro"/>
          <w:szCs w:val="28"/>
        </w:rPr>
      </w:pPr>
      <w:r w:rsidRPr="002526CE">
        <w:rPr>
          <w:rFonts w:ascii="FS Elliot Pro" w:hAnsi="FS Elliot Pro"/>
          <w:szCs w:val="28"/>
        </w:rPr>
        <w:t>En el caso de los instrumentos de renta fija, se exigirá que al menos un 80% de la cartera de renta fija sea de alta liquidez. Para estos efectos, se considerarán instrumentos de renta fija de alta liquidez todos los instrumentos garantizados por el Estado o por el Banco Central, las Letras Hipotecarias, y los depósitos a plazo bancarios. En el caso de las acciones, no se permitirá la adquisición de instrumentos que tengan menos de un 40% de presencia bursátil.</w:t>
      </w:r>
    </w:p>
    <w:p w14:paraId="127AAE1D" w14:textId="77777777" w:rsidR="002526CE" w:rsidRPr="002526CE" w:rsidRDefault="002526CE" w:rsidP="002526CE">
      <w:pPr>
        <w:jc w:val="both"/>
        <w:rPr>
          <w:rFonts w:ascii="FS Elliot Pro" w:hAnsi="FS Elliot Pro"/>
          <w:b/>
          <w:color w:val="2F5496" w:themeColor="accent1" w:themeShade="BF"/>
          <w:szCs w:val="28"/>
        </w:rPr>
      </w:pPr>
    </w:p>
    <w:p w14:paraId="07764DEE"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Límites para endeudamiento</w:t>
      </w:r>
    </w:p>
    <w:p w14:paraId="60984A32" w14:textId="77777777" w:rsidR="002526CE" w:rsidRDefault="002526CE" w:rsidP="002526CE">
      <w:pPr>
        <w:jc w:val="both"/>
        <w:rPr>
          <w:rFonts w:ascii="FS Elliot Pro" w:hAnsi="FS Elliot Pro"/>
          <w:szCs w:val="28"/>
        </w:rPr>
      </w:pPr>
      <w:r w:rsidRPr="002526CE">
        <w:rPr>
          <w:rFonts w:ascii="FS Elliot Pro" w:hAnsi="FS Elliot Pro"/>
          <w:szCs w:val="28"/>
        </w:rPr>
        <w:t>No se permitirá hacer uso de operaciones de endeudamiento para la actividad de inversiones relacionada con las Reservas de Ahorro y Riesgo.</w:t>
      </w:r>
    </w:p>
    <w:p w14:paraId="4D635CD8" w14:textId="77777777" w:rsidR="002526CE" w:rsidRPr="002526CE" w:rsidRDefault="002526CE" w:rsidP="002526CE">
      <w:pPr>
        <w:jc w:val="both"/>
        <w:rPr>
          <w:rFonts w:ascii="FS Elliot Pro" w:hAnsi="FS Elliot Pro"/>
          <w:szCs w:val="28"/>
        </w:rPr>
      </w:pPr>
    </w:p>
    <w:p w14:paraId="77EDADE5"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Límites para el uso de derivados</w:t>
      </w:r>
    </w:p>
    <w:p w14:paraId="74352BD1" w14:textId="77777777" w:rsidR="002526CE" w:rsidRDefault="002526CE" w:rsidP="002526CE">
      <w:pPr>
        <w:jc w:val="both"/>
        <w:rPr>
          <w:rFonts w:ascii="FS Elliot Pro" w:hAnsi="FS Elliot Pro"/>
          <w:szCs w:val="28"/>
        </w:rPr>
      </w:pPr>
      <w:r w:rsidRPr="002526CE">
        <w:rPr>
          <w:rFonts w:ascii="FS Elliot Pro" w:hAnsi="FS Elliot Pro"/>
          <w:szCs w:val="28"/>
        </w:rPr>
        <w:t>El uso de derivados será para reducir el riesgo de los activos del portafolio, para cubrir el riesgo de descalce de monedas o de tasa de interés, o para simular una operación aprobada de una manera más eficiente. El uso de derivados deberá regirse por la Política de Utilización de Productos Derivados, y deberá ser aprobado por el Comité de Inversiones de Principal International así como por el Comité de Inversiones Local.</w:t>
      </w:r>
    </w:p>
    <w:p w14:paraId="36DED40F" w14:textId="77777777" w:rsidR="002526CE" w:rsidRPr="002526CE" w:rsidRDefault="002526CE" w:rsidP="002526CE">
      <w:pPr>
        <w:jc w:val="both"/>
        <w:rPr>
          <w:rFonts w:ascii="FS Elliot Pro" w:hAnsi="FS Elliot Pro"/>
          <w:szCs w:val="28"/>
        </w:rPr>
      </w:pPr>
    </w:p>
    <w:p w14:paraId="1D7A02EA"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Cumplimiento de estos límites</w:t>
      </w:r>
    </w:p>
    <w:p w14:paraId="4DB99476" w14:textId="77FFEE49" w:rsidR="002526CE" w:rsidRPr="002526CE" w:rsidRDefault="00FB5B52" w:rsidP="002526CE">
      <w:pPr>
        <w:jc w:val="both"/>
        <w:rPr>
          <w:rFonts w:ascii="FS Elliot Pro" w:hAnsi="FS Elliot Pro"/>
          <w:szCs w:val="28"/>
        </w:rPr>
      </w:pPr>
      <w:r w:rsidRPr="00FB5B52">
        <w:rPr>
          <w:rFonts w:ascii="FS Elliot Pro" w:hAnsi="FS Elliot Pro"/>
          <w:szCs w:val="28"/>
        </w:rPr>
        <w:t>Las desviaciones de estos límites serán reportadas en el siguiente comité de inversiones local en donde se explicarán las causas y se acordarán los pasos a seguir.</w:t>
      </w:r>
    </w:p>
    <w:p w14:paraId="638156BF" w14:textId="77777777" w:rsidR="00092A74" w:rsidRDefault="00092A74" w:rsidP="00092A74">
      <w:pPr>
        <w:pStyle w:val="Prrafodelista"/>
        <w:numPr>
          <w:ilvl w:val="0"/>
          <w:numId w:val="6"/>
        </w:numPr>
        <w:jc w:val="both"/>
        <w:rPr>
          <w:rFonts w:ascii="FS Elliot Pro" w:hAnsi="FS Elliot Pro"/>
          <w:b/>
          <w:color w:val="2F5496" w:themeColor="accent1" w:themeShade="BF"/>
          <w:szCs w:val="28"/>
        </w:rPr>
      </w:pPr>
      <w:r w:rsidRPr="00092A74">
        <w:rPr>
          <w:rFonts w:ascii="FS Elliot Pro" w:hAnsi="FS Elliot Pro"/>
          <w:b/>
          <w:color w:val="2F5496" w:themeColor="accent1" w:themeShade="BF"/>
          <w:szCs w:val="28"/>
        </w:rPr>
        <w:t>Revisión anual</w:t>
      </w:r>
    </w:p>
    <w:p w14:paraId="73E9BC18" w14:textId="77777777" w:rsidR="002526CE" w:rsidRPr="002526CE" w:rsidRDefault="002526CE" w:rsidP="002526CE">
      <w:pPr>
        <w:jc w:val="both"/>
        <w:rPr>
          <w:rFonts w:ascii="FS Elliot Pro" w:hAnsi="FS Elliot Pro"/>
          <w:szCs w:val="28"/>
        </w:rPr>
      </w:pPr>
      <w:r w:rsidRPr="002526CE">
        <w:rPr>
          <w:rFonts w:ascii="FS Elliot Pro" w:hAnsi="FS Elliot Pro"/>
          <w:szCs w:val="28"/>
        </w:rPr>
        <w:t>Esta Política de Inversiones será revisada al menos una vez al año para asegurarse de que este documento mantiene su vigencia, y cada cambio propuesto se presentará al Comité de Inversiones de Principal Vida y deberá ser ratificado por el Directorio de Principal Vida Chile.</w:t>
      </w:r>
    </w:p>
    <w:p w14:paraId="68E1D555" w14:textId="77777777" w:rsidR="002526CE" w:rsidRPr="00654CEB" w:rsidRDefault="002526CE" w:rsidP="002526CE">
      <w:pPr>
        <w:pBdr>
          <w:bottom w:val="single" w:sz="12" w:space="1" w:color="auto"/>
        </w:pBdr>
        <w:jc w:val="both"/>
        <w:rPr>
          <w:rFonts w:ascii="FS Elliot Pro" w:hAnsi="FS Elliot Pro"/>
          <w:szCs w:val="28"/>
        </w:rPr>
      </w:pPr>
    </w:p>
    <w:p w14:paraId="3AC21E62" w14:textId="24B9E867" w:rsidR="002526CE" w:rsidRDefault="002526CE" w:rsidP="002526CE">
      <w:pPr>
        <w:jc w:val="both"/>
        <w:rPr>
          <w:rFonts w:ascii="FS Elliot Pro" w:hAnsi="FS Elliot Pro"/>
          <w:b/>
          <w:color w:val="2F5496" w:themeColor="accent1" w:themeShade="BF"/>
          <w:szCs w:val="28"/>
        </w:rPr>
      </w:pPr>
    </w:p>
    <w:p w14:paraId="0B156B0C" w14:textId="4FB8649B" w:rsidR="00E03DDF" w:rsidRDefault="00E03DDF" w:rsidP="002526CE">
      <w:pPr>
        <w:jc w:val="both"/>
        <w:rPr>
          <w:rFonts w:ascii="FS Elliot Pro" w:hAnsi="FS Elliot Pro"/>
          <w:b/>
          <w:color w:val="2F5496" w:themeColor="accent1" w:themeShade="BF"/>
          <w:szCs w:val="28"/>
        </w:rPr>
      </w:pPr>
    </w:p>
    <w:p w14:paraId="6FF85F74" w14:textId="2672DA7B" w:rsidR="00E03DDF" w:rsidRDefault="00E03DDF" w:rsidP="002526CE">
      <w:pPr>
        <w:jc w:val="both"/>
        <w:rPr>
          <w:rFonts w:ascii="FS Elliot Pro" w:hAnsi="FS Elliot Pro"/>
          <w:b/>
          <w:color w:val="2F5496" w:themeColor="accent1" w:themeShade="BF"/>
          <w:szCs w:val="28"/>
        </w:rPr>
      </w:pPr>
    </w:p>
    <w:p w14:paraId="1F34658C" w14:textId="77777777" w:rsidR="00E03DDF" w:rsidRPr="00092A74" w:rsidRDefault="00E03DDF" w:rsidP="002526CE">
      <w:pPr>
        <w:jc w:val="both"/>
        <w:rPr>
          <w:rFonts w:ascii="FS Elliot Pro" w:hAnsi="FS Elliot Pro"/>
          <w:b/>
          <w:color w:val="2F5496" w:themeColor="accent1" w:themeShade="BF"/>
          <w:szCs w:val="28"/>
        </w:rPr>
      </w:pPr>
    </w:p>
    <w:p w14:paraId="44145CC9" w14:textId="77777777" w:rsidR="002526CE" w:rsidRDefault="002526CE" w:rsidP="002526CE">
      <w:pPr>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3</w:t>
      </w:r>
      <w:r w:rsidRPr="001F1CF3">
        <w:rPr>
          <w:rFonts w:ascii="FS Elliot Pro" w:hAnsi="FS Elliot Pro"/>
          <w:b/>
          <w:color w:val="2F5496" w:themeColor="accent1" w:themeShade="BF"/>
          <w:sz w:val="28"/>
          <w:szCs w:val="28"/>
        </w:rPr>
        <w:t>.</w:t>
      </w:r>
      <w:r>
        <w:rPr>
          <w:rFonts w:ascii="FS Elliot Pro" w:hAnsi="FS Elliot Pro"/>
          <w:b/>
          <w:color w:val="2F5496" w:themeColor="accent1" w:themeShade="BF"/>
          <w:sz w:val="28"/>
          <w:szCs w:val="28"/>
        </w:rPr>
        <w:t xml:space="preserve"> </w:t>
      </w:r>
      <w:r w:rsidRPr="002526CE">
        <w:rPr>
          <w:rFonts w:ascii="FS Elliot Pro" w:hAnsi="FS Elliot Pro"/>
          <w:b/>
          <w:color w:val="2F5496" w:themeColor="accent1" w:themeShade="BF"/>
          <w:sz w:val="28"/>
          <w:szCs w:val="28"/>
        </w:rPr>
        <w:t>Política de Inversiones para reservas de riesgo</w:t>
      </w:r>
    </w:p>
    <w:p w14:paraId="5C3853EC" w14:textId="77777777" w:rsidR="002526CE" w:rsidRPr="001B3E1F" w:rsidRDefault="002526CE" w:rsidP="002526CE">
      <w:pPr>
        <w:rPr>
          <w:rFonts w:ascii="FS Elliot Pro" w:hAnsi="FS Elliot Pro"/>
          <w:b/>
          <w:color w:val="2F5496" w:themeColor="accent1" w:themeShade="BF"/>
          <w:sz w:val="24"/>
          <w:szCs w:val="28"/>
        </w:rPr>
      </w:pPr>
    </w:p>
    <w:p w14:paraId="77F87AD1" w14:textId="77777777" w:rsidR="002526CE" w:rsidRPr="001F1CF3" w:rsidRDefault="002526CE" w:rsidP="002526CE">
      <w:pPr>
        <w:rPr>
          <w:rFonts w:ascii="FS Elliot Pro" w:hAnsi="FS Elliot Pro"/>
          <w:b/>
          <w:color w:val="2F5496" w:themeColor="accent1" w:themeShade="BF"/>
          <w:sz w:val="28"/>
          <w:szCs w:val="28"/>
        </w:rPr>
      </w:pPr>
      <w:r w:rsidRPr="001F1CF3">
        <w:rPr>
          <w:rFonts w:ascii="FS Elliot Pro" w:hAnsi="FS Elliot Pro"/>
          <w:b/>
          <w:color w:val="2F5496" w:themeColor="accent1" w:themeShade="BF"/>
          <w:sz w:val="28"/>
          <w:szCs w:val="28"/>
        </w:rPr>
        <w:t>a. Propósito</w:t>
      </w:r>
      <w:r>
        <w:rPr>
          <w:rFonts w:ascii="FS Elliot Pro" w:hAnsi="FS Elliot Pro"/>
          <w:b/>
          <w:color w:val="2F5496" w:themeColor="accent1" w:themeShade="BF"/>
          <w:sz w:val="28"/>
          <w:szCs w:val="28"/>
        </w:rPr>
        <w:t>s</w:t>
      </w:r>
    </w:p>
    <w:p w14:paraId="128CAE52" w14:textId="77777777" w:rsidR="002526CE" w:rsidRPr="002526CE" w:rsidRDefault="002526CE" w:rsidP="002526CE">
      <w:pPr>
        <w:jc w:val="both"/>
        <w:rPr>
          <w:rFonts w:ascii="FS Elliot Pro" w:hAnsi="FS Elliot Pro"/>
          <w:b/>
          <w:color w:val="2F5496" w:themeColor="accent1" w:themeShade="BF"/>
        </w:rPr>
      </w:pPr>
      <w:r w:rsidRPr="002526CE">
        <w:rPr>
          <w:rFonts w:ascii="FS Elliot Pro" w:hAnsi="FS Elliot Pro"/>
          <w:b/>
          <w:color w:val="2F5496" w:themeColor="accent1" w:themeShade="BF"/>
        </w:rPr>
        <w:t xml:space="preserve">• Objetivo de las Carteras de Inversiones. </w:t>
      </w:r>
    </w:p>
    <w:p w14:paraId="3A084626" w14:textId="77777777" w:rsidR="002526CE" w:rsidRPr="002526CE" w:rsidRDefault="002526CE" w:rsidP="002526CE">
      <w:pPr>
        <w:jc w:val="both"/>
        <w:rPr>
          <w:rFonts w:ascii="FS Elliot Pro" w:hAnsi="FS Elliot Pro"/>
        </w:rPr>
      </w:pPr>
      <w:r w:rsidRPr="002526CE">
        <w:rPr>
          <w:rFonts w:ascii="FS Elliot Pro" w:hAnsi="FS Elliot Pro"/>
        </w:rPr>
        <w:t xml:space="preserve">Los objetivos de cada cartera de inversiones son los siguientes: </w:t>
      </w:r>
    </w:p>
    <w:p w14:paraId="6A77E8C8" w14:textId="77777777" w:rsidR="002526CE" w:rsidRPr="002526CE" w:rsidRDefault="002526CE" w:rsidP="002526CE">
      <w:pPr>
        <w:jc w:val="both"/>
        <w:rPr>
          <w:rFonts w:ascii="FS Elliot Pro" w:hAnsi="FS Elliot Pro"/>
        </w:rPr>
      </w:pPr>
      <w:r>
        <w:rPr>
          <w:rFonts w:ascii="FS Elliot Pro" w:hAnsi="FS Elliot Pro"/>
        </w:rPr>
        <w:tab/>
      </w:r>
      <w:r w:rsidRPr="002526CE">
        <w:rPr>
          <w:rFonts w:ascii="FS Elliot Pro" w:hAnsi="FS Elliot Pro"/>
        </w:rPr>
        <w:t>a.</w:t>
      </w:r>
      <w:r>
        <w:rPr>
          <w:rFonts w:ascii="FS Elliot Pro" w:hAnsi="FS Elliot Pro"/>
        </w:rPr>
        <w:t xml:space="preserve"> </w:t>
      </w:r>
      <w:r w:rsidRPr="002526CE">
        <w:rPr>
          <w:rFonts w:ascii="FS Elliot Pro" w:hAnsi="FS Elliot Pro"/>
        </w:rPr>
        <w:t xml:space="preserve">Responder adecuadamente con los compromisos asumidos con los clientes de cada uno de los productos de Principal Vida Chile, minimizando los riesgos de escenarios adversos y cumpliendo con la normativa vigente. </w:t>
      </w:r>
    </w:p>
    <w:p w14:paraId="152A3DB7" w14:textId="77777777" w:rsidR="002526CE" w:rsidRPr="002526CE" w:rsidRDefault="002526CE" w:rsidP="002526CE">
      <w:pPr>
        <w:ind w:firstLine="708"/>
        <w:jc w:val="both"/>
        <w:rPr>
          <w:rFonts w:ascii="FS Elliot Pro" w:hAnsi="FS Elliot Pro"/>
        </w:rPr>
      </w:pPr>
      <w:r w:rsidRPr="002526CE">
        <w:rPr>
          <w:rFonts w:ascii="FS Elliot Pro" w:hAnsi="FS Elliot Pro"/>
        </w:rPr>
        <w:t>b.</w:t>
      </w:r>
      <w:r>
        <w:rPr>
          <w:rFonts w:ascii="FS Elliot Pro" w:hAnsi="FS Elliot Pro"/>
        </w:rPr>
        <w:t xml:space="preserve"> </w:t>
      </w:r>
      <w:r w:rsidRPr="002526CE">
        <w:rPr>
          <w:rFonts w:ascii="FS Elliot Pro" w:hAnsi="FS Elliot Pro"/>
        </w:rPr>
        <w:t xml:space="preserve">Garantizar en la medida de lo posible un adecuado retorno para el accionista que compense debidamente por el riesgo asumido en este negocio. </w:t>
      </w:r>
    </w:p>
    <w:p w14:paraId="108E4F07" w14:textId="77777777" w:rsidR="002526CE" w:rsidRDefault="002526CE" w:rsidP="002526CE">
      <w:pPr>
        <w:jc w:val="both"/>
        <w:rPr>
          <w:rFonts w:ascii="FS Elliot Pro" w:hAnsi="FS Elliot Pro"/>
        </w:rPr>
      </w:pPr>
    </w:p>
    <w:p w14:paraId="3E7A8633" w14:textId="77777777" w:rsidR="002526CE" w:rsidRPr="002526CE" w:rsidRDefault="002526CE" w:rsidP="002526CE">
      <w:pPr>
        <w:jc w:val="both"/>
        <w:rPr>
          <w:rFonts w:ascii="FS Elliot Pro" w:hAnsi="FS Elliot Pro"/>
          <w:b/>
        </w:rPr>
      </w:pPr>
      <w:r w:rsidRPr="002526CE">
        <w:rPr>
          <w:rFonts w:ascii="FS Elliot Pro" w:hAnsi="FS Elliot Pro"/>
          <w:b/>
          <w:color w:val="2F5496" w:themeColor="accent1" w:themeShade="BF"/>
        </w:rPr>
        <w:t xml:space="preserve">• Objetivo de esta Política de Inversiones. </w:t>
      </w:r>
    </w:p>
    <w:p w14:paraId="7D7B3761" w14:textId="77777777" w:rsidR="002526CE" w:rsidRPr="002526CE" w:rsidRDefault="002526CE" w:rsidP="002526CE">
      <w:pPr>
        <w:jc w:val="both"/>
        <w:rPr>
          <w:rFonts w:ascii="FS Elliot Pro" w:hAnsi="FS Elliot Pro"/>
        </w:rPr>
      </w:pPr>
      <w:r w:rsidRPr="002526CE">
        <w:rPr>
          <w:rFonts w:ascii="FS Elliot Pro" w:hAnsi="FS Elliot Pro"/>
        </w:rPr>
        <w:t xml:space="preserve">El objetivo de la Política de Inversiones es el de establecer un marco de acción en el cual tiene que estar circunscrita la Estrategia de Inversiones. La Estrategia de Inversiones incorpora todas las decisiones de inversión relacionadas con cada cartera. </w:t>
      </w:r>
    </w:p>
    <w:p w14:paraId="7B0870CE" w14:textId="77777777" w:rsidR="002526CE" w:rsidRDefault="002526CE" w:rsidP="002526CE">
      <w:pPr>
        <w:jc w:val="both"/>
        <w:rPr>
          <w:rFonts w:ascii="FS Elliot Pro" w:hAnsi="FS Elliot Pro"/>
          <w:sz w:val="24"/>
          <w:szCs w:val="28"/>
        </w:rPr>
      </w:pPr>
    </w:p>
    <w:p w14:paraId="0DDC96AF" w14:textId="77777777" w:rsidR="002526CE" w:rsidRDefault="002526CE" w:rsidP="002526CE">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b. Alcance</w:t>
      </w:r>
    </w:p>
    <w:p w14:paraId="628D7730" w14:textId="77777777" w:rsidR="002526CE" w:rsidRDefault="002526CE" w:rsidP="002526CE">
      <w:pPr>
        <w:spacing w:line="240" w:lineRule="auto"/>
        <w:jc w:val="both"/>
        <w:rPr>
          <w:rFonts w:ascii="FS Elliot Pro" w:hAnsi="FS Elliot Pro"/>
        </w:rPr>
      </w:pPr>
      <w:r w:rsidRPr="001F1CF3">
        <w:rPr>
          <w:rFonts w:ascii="FS Elliot Pro" w:hAnsi="FS Elliot Pro"/>
        </w:rPr>
        <w:t xml:space="preserve">Esta política </w:t>
      </w:r>
      <w:r>
        <w:rPr>
          <w:rFonts w:ascii="FS Elliot Pro" w:hAnsi="FS Elliot Pro"/>
        </w:rPr>
        <w:t>aplica a todos los directores y colaboradores de PVCH.</w:t>
      </w:r>
    </w:p>
    <w:p w14:paraId="68224E71" w14:textId="77777777" w:rsidR="002526CE" w:rsidRPr="001F1CF3" w:rsidRDefault="002526CE" w:rsidP="002526CE">
      <w:pPr>
        <w:jc w:val="both"/>
        <w:rPr>
          <w:rFonts w:ascii="FS Elliot Pro" w:hAnsi="FS Elliot Pro"/>
          <w:sz w:val="24"/>
          <w:szCs w:val="24"/>
        </w:rPr>
      </w:pPr>
    </w:p>
    <w:p w14:paraId="0728355F" w14:textId="77777777" w:rsidR="002526CE" w:rsidRDefault="002526CE" w:rsidP="002526CE">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c. Estándares</w:t>
      </w:r>
    </w:p>
    <w:p w14:paraId="2C943BB4" w14:textId="77777777" w:rsidR="002526CE" w:rsidRDefault="002526CE" w:rsidP="002526CE">
      <w:pPr>
        <w:pStyle w:val="Prrafodelista"/>
        <w:numPr>
          <w:ilvl w:val="0"/>
          <w:numId w:val="4"/>
        </w:numPr>
        <w:jc w:val="both"/>
        <w:rPr>
          <w:rFonts w:ascii="FS Elliot Pro" w:hAnsi="FS Elliot Pro"/>
          <w:b/>
          <w:color w:val="2F5496" w:themeColor="accent1" w:themeShade="BF"/>
          <w:szCs w:val="28"/>
        </w:rPr>
      </w:pPr>
      <w:r w:rsidRPr="007A2AC6">
        <w:rPr>
          <w:rFonts w:ascii="FS Elliot Pro" w:hAnsi="FS Elliot Pro"/>
          <w:b/>
          <w:color w:val="2F5496" w:themeColor="accent1" w:themeShade="BF"/>
          <w:szCs w:val="28"/>
        </w:rPr>
        <w:t>Clasificación de las Inversiones de la Compañía</w:t>
      </w:r>
    </w:p>
    <w:p w14:paraId="4DC33916" w14:textId="77777777" w:rsidR="00397A36" w:rsidRPr="00397A36" w:rsidRDefault="00397A36" w:rsidP="00397A36">
      <w:pPr>
        <w:jc w:val="both"/>
        <w:rPr>
          <w:rFonts w:ascii="FS Elliot Pro" w:hAnsi="FS Elliot Pro"/>
          <w:szCs w:val="28"/>
        </w:rPr>
      </w:pPr>
      <w:r w:rsidRPr="00397A36">
        <w:rPr>
          <w:rFonts w:ascii="FS Elliot Pro" w:hAnsi="FS Elliot Pro"/>
          <w:szCs w:val="28"/>
        </w:rPr>
        <w:t xml:space="preserve">Principal Vida Chile mantiene inversiones para respaldar los siguientes productos: Rentas Vitalicias del D.L.3500, Rentas Vitalicias Privadas, Seguros con Ahorro del tipo Universal Life y Seguros de Vida e Invalidez. </w:t>
      </w:r>
    </w:p>
    <w:p w14:paraId="5571F2E2" w14:textId="77777777" w:rsidR="00397A36" w:rsidRDefault="00397A36" w:rsidP="00397A36">
      <w:pPr>
        <w:jc w:val="both"/>
        <w:rPr>
          <w:rFonts w:ascii="FS Elliot Pro" w:hAnsi="FS Elliot Pro"/>
          <w:szCs w:val="28"/>
        </w:rPr>
      </w:pPr>
      <w:r w:rsidRPr="00397A36">
        <w:rPr>
          <w:rFonts w:ascii="FS Elliot Pro" w:hAnsi="FS Elliot Pro"/>
          <w:szCs w:val="28"/>
        </w:rPr>
        <w:t>Las inversiones de Principal Vida Chile se pueden clasificar en tres grupos: (1) inversiones para respaldar la reserva y capital de riesgo que se generan con los productos de prima única en los cuales se asume el compromiso de pagar una renta definida en el tiempo, (2) inversiones para respaldar la reserva de ahorro (o reserva de valor del fondo) de los productos con componente de ahorro, y (3) inversiones para respaldar la reserva de riesgo de los productos que incluyen seguros de vida, invalidez u otro tipo de riesgo personal.</w:t>
      </w:r>
    </w:p>
    <w:p w14:paraId="0F7FA58A" w14:textId="77777777" w:rsidR="00397A36" w:rsidRPr="00397A36" w:rsidRDefault="00397A36" w:rsidP="00397A36">
      <w:pPr>
        <w:jc w:val="both"/>
        <w:rPr>
          <w:rFonts w:ascii="FS Elliot Pro" w:hAnsi="FS Elliot Pro"/>
          <w:szCs w:val="28"/>
        </w:rPr>
      </w:pPr>
    </w:p>
    <w:p w14:paraId="2EFE6604" w14:textId="77777777" w:rsidR="002526CE" w:rsidRDefault="002526CE" w:rsidP="002526CE">
      <w:pPr>
        <w:pStyle w:val="Prrafodelista"/>
        <w:numPr>
          <w:ilvl w:val="0"/>
          <w:numId w:val="4"/>
        </w:numPr>
        <w:jc w:val="both"/>
        <w:rPr>
          <w:rFonts w:ascii="FS Elliot Pro" w:hAnsi="FS Elliot Pro"/>
          <w:b/>
          <w:color w:val="2F5496" w:themeColor="accent1" w:themeShade="BF"/>
          <w:szCs w:val="28"/>
        </w:rPr>
      </w:pPr>
      <w:r w:rsidRPr="002526CE">
        <w:rPr>
          <w:rFonts w:ascii="FS Elliot Pro" w:hAnsi="FS Elliot Pro"/>
          <w:b/>
          <w:color w:val="2F5496" w:themeColor="accent1" w:themeShade="BF"/>
          <w:szCs w:val="28"/>
        </w:rPr>
        <w:t>Identificación de la Cartera de Reservas de Riesgo</w:t>
      </w:r>
    </w:p>
    <w:p w14:paraId="709C7AD8" w14:textId="77777777" w:rsidR="00397A36" w:rsidRDefault="00397A36" w:rsidP="00397A36">
      <w:pPr>
        <w:jc w:val="both"/>
        <w:rPr>
          <w:rFonts w:ascii="FS Elliot Pro" w:hAnsi="FS Elliot Pro"/>
          <w:szCs w:val="28"/>
        </w:rPr>
      </w:pPr>
      <w:r w:rsidRPr="00397A36">
        <w:rPr>
          <w:rFonts w:ascii="FS Elliot Pro" w:hAnsi="FS Elliot Pro"/>
          <w:szCs w:val="28"/>
        </w:rPr>
        <w:t>Para el caso de las inversiones que respaldan la reserva de riesgo de los productos que incluyen seguros de vida, invalidez o de otro tipo de riesgo personal, el monto de la cartera de inversiones será igual a la suma de las reservas técnicas de todos los productos que tengan un componente de riesgo, distintos de Renta Vitalicia y Renta Privada, menos todas las reservas de ahorro.</w:t>
      </w:r>
    </w:p>
    <w:p w14:paraId="3E21B70A" w14:textId="77777777" w:rsidR="00397A36" w:rsidRPr="00397A36" w:rsidRDefault="00397A36" w:rsidP="00397A36">
      <w:pPr>
        <w:jc w:val="both"/>
        <w:rPr>
          <w:rFonts w:ascii="FS Elliot Pro" w:hAnsi="FS Elliot Pro"/>
          <w:szCs w:val="28"/>
        </w:rPr>
      </w:pPr>
    </w:p>
    <w:p w14:paraId="2E77DD2A" w14:textId="77777777" w:rsidR="002526CE" w:rsidRDefault="002526CE" w:rsidP="002526CE">
      <w:pPr>
        <w:pStyle w:val="Prrafodelista"/>
        <w:numPr>
          <w:ilvl w:val="0"/>
          <w:numId w:val="4"/>
        </w:numPr>
        <w:jc w:val="both"/>
        <w:rPr>
          <w:rFonts w:ascii="FS Elliot Pro" w:hAnsi="FS Elliot Pro"/>
          <w:b/>
          <w:color w:val="2F5496" w:themeColor="accent1" w:themeShade="BF"/>
          <w:szCs w:val="28"/>
        </w:rPr>
      </w:pPr>
      <w:r w:rsidRPr="002526CE">
        <w:rPr>
          <w:rFonts w:ascii="FS Elliot Pro" w:hAnsi="FS Elliot Pro"/>
          <w:b/>
          <w:color w:val="2F5496" w:themeColor="accent1" w:themeShade="BF"/>
          <w:szCs w:val="28"/>
        </w:rPr>
        <w:t>Análisis de los Riesgos Más Relevantes</w:t>
      </w:r>
    </w:p>
    <w:p w14:paraId="476C68A0" w14:textId="77777777" w:rsidR="00397A36" w:rsidRDefault="00397A36" w:rsidP="00397A36">
      <w:pPr>
        <w:jc w:val="both"/>
        <w:rPr>
          <w:rFonts w:ascii="FS Elliot Pro" w:hAnsi="FS Elliot Pro"/>
          <w:szCs w:val="28"/>
        </w:rPr>
      </w:pPr>
      <w:r w:rsidRPr="00397A36">
        <w:rPr>
          <w:rFonts w:ascii="FS Elliot Pro" w:hAnsi="FS Elliot Pro"/>
          <w:color w:val="2F5496" w:themeColor="accent1" w:themeShade="BF"/>
          <w:szCs w:val="28"/>
        </w:rPr>
        <w:t xml:space="preserve">a. Riesgo de Descalce entre Flujos de Activos y Pasivos: </w:t>
      </w:r>
      <w:r w:rsidRPr="00397A36">
        <w:rPr>
          <w:rFonts w:ascii="FS Elliot Pro" w:hAnsi="FS Elliot Pro"/>
          <w:szCs w:val="28"/>
        </w:rPr>
        <w:t>Si bien la naturaleza de las reservas es más bien de corto plazo, podrán hacerse inversiones de distinto plazo que el pasivo para buscar mayores rentabilidades siempre que las condiciones de liquidez de las inversiones permitan cumplir con los compromisos del pasivo.</w:t>
      </w:r>
    </w:p>
    <w:p w14:paraId="24F6B032" w14:textId="77777777" w:rsidR="00397A36" w:rsidRPr="00397A36" w:rsidRDefault="00397A36" w:rsidP="00397A36">
      <w:pPr>
        <w:jc w:val="both"/>
        <w:rPr>
          <w:rFonts w:ascii="FS Elliot Pro" w:hAnsi="FS Elliot Pro"/>
          <w:szCs w:val="28"/>
        </w:rPr>
      </w:pPr>
      <w:r w:rsidRPr="00397A36">
        <w:rPr>
          <w:rFonts w:ascii="FS Elliot Pro" w:hAnsi="FS Elliot Pro"/>
          <w:color w:val="2F5496" w:themeColor="accent1" w:themeShade="BF"/>
          <w:szCs w:val="28"/>
        </w:rPr>
        <w:t xml:space="preserve">b. Riesgo de Crédito: </w:t>
      </w:r>
      <w:r w:rsidRPr="00397A36">
        <w:rPr>
          <w:rFonts w:ascii="FS Elliot Pro" w:hAnsi="FS Elliot Pro"/>
          <w:szCs w:val="28"/>
        </w:rPr>
        <w:t xml:space="preserve">para atenuar el perjuicio que podría ocasionar el incumplimiento en los pagos comprometidos por cualquier contraparte, es que se debe evitar la concentración de este riesgo mediante la diversificación, además de minimizarlo a través del análisis propio y de terceros de la capacidad de pago de la contraparte. Para el control de este riesgo es que se dispondrán de límites de inversión máxima por contraparte, los cuales se ajustarán según la evaluación que se haga de su calidad para cumplir con sus compromisos. </w:t>
      </w:r>
    </w:p>
    <w:p w14:paraId="26D2417C" w14:textId="77777777" w:rsidR="00397A36" w:rsidRDefault="00397A36" w:rsidP="00397A36">
      <w:pPr>
        <w:jc w:val="both"/>
        <w:rPr>
          <w:rFonts w:ascii="FS Elliot Pro" w:hAnsi="FS Elliot Pro"/>
          <w:szCs w:val="28"/>
        </w:rPr>
      </w:pPr>
      <w:r w:rsidRPr="00397A36">
        <w:rPr>
          <w:rFonts w:ascii="FS Elliot Pro" w:hAnsi="FS Elliot Pro"/>
          <w:color w:val="2F5496" w:themeColor="accent1" w:themeShade="BF"/>
          <w:szCs w:val="28"/>
        </w:rPr>
        <w:t xml:space="preserve">c. Riesgo de Fuertes Movimientos Adversos de Precios: </w:t>
      </w:r>
      <w:r w:rsidRPr="00397A36">
        <w:rPr>
          <w:rFonts w:ascii="FS Elliot Pro" w:hAnsi="FS Elliot Pro"/>
          <w:szCs w:val="28"/>
        </w:rPr>
        <w:t>Este riesgo sólo es relevante para aquellos instrumentos de inversión cuyos flujos no se corresponden o no calzan los flujos de pasivo, lo que puede eventualmente generar pérdidas si es que existe la obligación de vender el instrumento en condiciones desfavorables. Para el caso de Inversiones que respaldan Reservas de Riesgo, la obligación de vender puede estar asociada a la ocurrencia de siniestros cubiertos por el seguro, por lo que en general se mantendrán inversiones en instrumentos líquidos y de baja volatilidad.</w:t>
      </w:r>
    </w:p>
    <w:p w14:paraId="53E8D62C" w14:textId="77777777" w:rsidR="002526CE" w:rsidRDefault="002526CE" w:rsidP="002526CE">
      <w:pPr>
        <w:pStyle w:val="Prrafodelista"/>
        <w:numPr>
          <w:ilvl w:val="0"/>
          <w:numId w:val="4"/>
        </w:numPr>
        <w:jc w:val="both"/>
        <w:rPr>
          <w:rFonts w:ascii="FS Elliot Pro" w:hAnsi="FS Elliot Pro"/>
          <w:b/>
          <w:color w:val="2F5496" w:themeColor="accent1" w:themeShade="BF"/>
          <w:szCs w:val="28"/>
        </w:rPr>
      </w:pPr>
      <w:r w:rsidRPr="002526CE">
        <w:rPr>
          <w:rFonts w:ascii="FS Elliot Pro" w:hAnsi="FS Elliot Pro"/>
          <w:b/>
          <w:color w:val="2F5496" w:themeColor="accent1" w:themeShade="BF"/>
          <w:szCs w:val="28"/>
        </w:rPr>
        <w:t>Límites por tipo de activo</w:t>
      </w:r>
    </w:p>
    <w:p w14:paraId="266D2A21" w14:textId="77777777" w:rsidR="00397A36" w:rsidRPr="00397A36" w:rsidRDefault="00397A36" w:rsidP="00397A36">
      <w:pPr>
        <w:jc w:val="both"/>
        <w:rPr>
          <w:rFonts w:ascii="FS Elliot Pro" w:hAnsi="FS Elliot Pro"/>
          <w:szCs w:val="28"/>
        </w:rPr>
      </w:pPr>
      <w:r w:rsidRPr="00397A36">
        <w:rPr>
          <w:rFonts w:ascii="FS Elliot Pro" w:hAnsi="FS Elliot Pro"/>
          <w:szCs w:val="28"/>
        </w:rPr>
        <w:t xml:space="preserve">El límite para cada tipo de activo que deberá ser usado en la actividad de inversiones será el menor entre el límite regulatorio y el que se describe a continuación en esta política de inversiones. El límite regulatorio será aquel instruido por la Comisión para el Mercado Financiero (CMF) de acuerdo al D.F.L.251. </w:t>
      </w:r>
    </w:p>
    <w:p w14:paraId="44F60D27" w14:textId="5367B8D0" w:rsidR="00397A36" w:rsidRDefault="00397A36" w:rsidP="00397A36">
      <w:pPr>
        <w:jc w:val="both"/>
        <w:rPr>
          <w:rFonts w:ascii="FS Elliot Pro" w:hAnsi="FS Elliot Pro"/>
          <w:szCs w:val="28"/>
        </w:rPr>
      </w:pPr>
      <w:r w:rsidRPr="00397A36">
        <w:rPr>
          <w:rFonts w:ascii="FS Elliot Pro" w:hAnsi="FS Elliot Pro"/>
          <w:szCs w:val="28"/>
        </w:rPr>
        <w:t xml:space="preserve">La Cartera de Inversiones que respalda las Reservas de Riesgo se podrá invertir en los siguientes tipos de activos, respetando para cada tipo de activo el límite máximo que se señala respecto a la cartera: </w:t>
      </w:r>
    </w:p>
    <w:tbl>
      <w:tblPr>
        <w:tblW w:w="9180" w:type="dxa"/>
        <w:tblCellMar>
          <w:left w:w="70" w:type="dxa"/>
          <w:right w:w="70" w:type="dxa"/>
        </w:tblCellMar>
        <w:tblLook w:val="04A0" w:firstRow="1" w:lastRow="0" w:firstColumn="1" w:lastColumn="0" w:noHBand="0" w:noVBand="1"/>
      </w:tblPr>
      <w:tblGrid>
        <w:gridCol w:w="7980"/>
        <w:gridCol w:w="1200"/>
      </w:tblGrid>
      <w:tr w:rsidR="00241B37" w:rsidRPr="00241B37" w14:paraId="29CF8C3A" w14:textId="77777777" w:rsidTr="00241B37">
        <w:trPr>
          <w:trHeight w:val="290"/>
        </w:trPr>
        <w:tc>
          <w:tcPr>
            <w:tcW w:w="7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ADBE11" w14:textId="4E7D5058" w:rsidR="00241B37" w:rsidRPr="00241B37" w:rsidRDefault="00241B37" w:rsidP="00241B37">
            <w:pPr>
              <w:spacing w:after="0" w:line="240" w:lineRule="auto"/>
              <w:rPr>
                <w:rFonts w:ascii="FS Elliot Pro" w:eastAsia="Times New Roman" w:hAnsi="FS Elliot Pro" w:cs="Calibri"/>
                <w:color w:val="000000"/>
                <w:lang w:eastAsia="es-CL"/>
              </w:rPr>
            </w:pPr>
            <w:r w:rsidRPr="00241B37">
              <w:rPr>
                <w:rFonts w:ascii="FS Elliot Pro" w:eastAsia="Times New Roman" w:hAnsi="FS Elliot Pro" w:cs="Calibri"/>
                <w:color w:val="000000"/>
                <w:lang w:eastAsia="es-CL"/>
              </w:rPr>
              <w:t>Instrumentos garantizados por el Estado de Chile o por el Banco Central de Chile</w:t>
            </w:r>
            <w:r>
              <w:rPr>
                <w:rStyle w:val="Refdenotaalpie"/>
                <w:rFonts w:ascii="FS Elliot Pro" w:eastAsia="Times New Roman" w:hAnsi="FS Elliot Pro" w:cs="Calibri"/>
                <w:color w:val="000000"/>
                <w:lang w:eastAsia="es-CL"/>
              </w:rPr>
              <w:footnoteReference w:id="7"/>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0F617B9A" w14:textId="77777777" w:rsidR="00241B37" w:rsidRPr="00241B37" w:rsidRDefault="00241B37" w:rsidP="00241B37">
            <w:pPr>
              <w:spacing w:after="0" w:line="240" w:lineRule="auto"/>
              <w:jc w:val="right"/>
              <w:rPr>
                <w:rFonts w:ascii="FS Elliot Pro" w:eastAsia="Times New Roman" w:hAnsi="FS Elliot Pro" w:cs="Calibri"/>
                <w:color w:val="000000"/>
                <w:lang w:eastAsia="es-CL"/>
              </w:rPr>
            </w:pPr>
            <w:r w:rsidRPr="00241B37">
              <w:rPr>
                <w:rFonts w:ascii="FS Elliot Pro" w:eastAsia="Times New Roman" w:hAnsi="FS Elliot Pro" w:cs="Calibri"/>
                <w:color w:val="000000"/>
                <w:lang w:eastAsia="es-CL"/>
              </w:rPr>
              <w:t>100%</w:t>
            </w:r>
          </w:p>
        </w:tc>
      </w:tr>
      <w:tr w:rsidR="00241B37" w:rsidRPr="00241B37" w14:paraId="268216B7" w14:textId="77777777" w:rsidTr="00241B37">
        <w:trPr>
          <w:trHeight w:val="290"/>
        </w:trPr>
        <w:tc>
          <w:tcPr>
            <w:tcW w:w="7980" w:type="dxa"/>
            <w:tcBorders>
              <w:top w:val="nil"/>
              <w:left w:val="single" w:sz="4" w:space="0" w:color="auto"/>
              <w:bottom w:val="single" w:sz="4" w:space="0" w:color="auto"/>
              <w:right w:val="single" w:sz="4" w:space="0" w:color="auto"/>
            </w:tcBorders>
            <w:shd w:val="clear" w:color="auto" w:fill="auto"/>
            <w:noWrap/>
            <w:vAlign w:val="bottom"/>
            <w:hideMark/>
          </w:tcPr>
          <w:p w14:paraId="1A435946" w14:textId="45239C82" w:rsidR="00241B37" w:rsidRPr="00241B37" w:rsidRDefault="00241B37" w:rsidP="00241B37">
            <w:pPr>
              <w:spacing w:after="0" w:line="240" w:lineRule="auto"/>
              <w:rPr>
                <w:rFonts w:ascii="FS Elliot Pro" w:eastAsia="Times New Roman" w:hAnsi="FS Elliot Pro" w:cs="Calibri"/>
                <w:color w:val="000000"/>
                <w:lang w:eastAsia="es-CL"/>
              </w:rPr>
            </w:pPr>
            <w:r w:rsidRPr="00241B37">
              <w:rPr>
                <w:rFonts w:ascii="FS Elliot Pro" w:eastAsia="Times New Roman" w:hAnsi="FS Elliot Pro" w:cs="Calibri"/>
                <w:color w:val="000000"/>
                <w:lang w:eastAsia="es-CL"/>
              </w:rPr>
              <w:t>Letras Hipotecarias emitidas en Chile</w:t>
            </w:r>
            <w:r>
              <w:rPr>
                <w:rStyle w:val="Refdenotaalpie"/>
                <w:rFonts w:ascii="FS Elliot Pro" w:eastAsia="Times New Roman" w:hAnsi="FS Elliot Pro" w:cs="Calibri"/>
                <w:color w:val="000000"/>
                <w:lang w:eastAsia="es-CL"/>
              </w:rPr>
              <w:footnoteReference w:id="8"/>
            </w:r>
          </w:p>
        </w:tc>
        <w:tc>
          <w:tcPr>
            <w:tcW w:w="1200" w:type="dxa"/>
            <w:tcBorders>
              <w:top w:val="nil"/>
              <w:left w:val="nil"/>
              <w:bottom w:val="single" w:sz="4" w:space="0" w:color="auto"/>
              <w:right w:val="single" w:sz="4" w:space="0" w:color="auto"/>
            </w:tcBorders>
            <w:shd w:val="clear" w:color="auto" w:fill="auto"/>
            <w:noWrap/>
            <w:vAlign w:val="bottom"/>
            <w:hideMark/>
          </w:tcPr>
          <w:p w14:paraId="24C4A1DB" w14:textId="77777777" w:rsidR="00241B37" w:rsidRPr="00241B37" w:rsidRDefault="00241B37" w:rsidP="00241B37">
            <w:pPr>
              <w:spacing w:after="0" w:line="240" w:lineRule="auto"/>
              <w:jc w:val="right"/>
              <w:rPr>
                <w:rFonts w:ascii="FS Elliot Pro" w:eastAsia="Times New Roman" w:hAnsi="FS Elliot Pro" w:cs="Calibri"/>
                <w:color w:val="000000"/>
                <w:lang w:eastAsia="es-CL"/>
              </w:rPr>
            </w:pPr>
            <w:r w:rsidRPr="00241B37">
              <w:rPr>
                <w:rFonts w:ascii="FS Elliot Pro" w:eastAsia="Times New Roman" w:hAnsi="FS Elliot Pro" w:cs="Calibri"/>
                <w:color w:val="000000"/>
                <w:lang w:eastAsia="es-CL"/>
              </w:rPr>
              <w:t>100%</w:t>
            </w:r>
          </w:p>
        </w:tc>
      </w:tr>
      <w:tr w:rsidR="00241B37" w:rsidRPr="00241B37" w14:paraId="4FFFC5BD" w14:textId="77777777" w:rsidTr="00241B37">
        <w:trPr>
          <w:trHeight w:val="290"/>
        </w:trPr>
        <w:tc>
          <w:tcPr>
            <w:tcW w:w="7980" w:type="dxa"/>
            <w:tcBorders>
              <w:top w:val="nil"/>
              <w:left w:val="single" w:sz="4" w:space="0" w:color="auto"/>
              <w:bottom w:val="single" w:sz="4" w:space="0" w:color="auto"/>
              <w:right w:val="single" w:sz="4" w:space="0" w:color="auto"/>
            </w:tcBorders>
            <w:shd w:val="clear" w:color="auto" w:fill="auto"/>
            <w:noWrap/>
            <w:vAlign w:val="bottom"/>
            <w:hideMark/>
          </w:tcPr>
          <w:p w14:paraId="67AE413F" w14:textId="321E3631" w:rsidR="00241B37" w:rsidRPr="00241B37" w:rsidRDefault="00241B37" w:rsidP="00241B37">
            <w:pPr>
              <w:spacing w:after="0" w:line="240" w:lineRule="auto"/>
              <w:rPr>
                <w:rFonts w:ascii="FS Elliot Pro" w:eastAsia="Times New Roman" w:hAnsi="FS Elliot Pro" w:cs="Calibri"/>
                <w:color w:val="000000"/>
                <w:lang w:eastAsia="es-CL"/>
              </w:rPr>
            </w:pPr>
            <w:r w:rsidRPr="00241B37">
              <w:rPr>
                <w:rFonts w:ascii="FS Elliot Pro" w:eastAsia="Times New Roman" w:hAnsi="FS Elliot Pro" w:cs="Calibri"/>
                <w:color w:val="000000"/>
                <w:lang w:eastAsia="es-CL"/>
              </w:rPr>
              <w:t>Instrumentos garantizados por Instituciones Bancarias en Chile</w:t>
            </w:r>
            <w:r w:rsidR="0013399E">
              <w:rPr>
                <w:rStyle w:val="Refdenotaalpie"/>
                <w:rFonts w:ascii="FS Elliot Pro" w:eastAsia="Times New Roman" w:hAnsi="FS Elliot Pro" w:cs="Calibri"/>
                <w:color w:val="000000"/>
                <w:lang w:eastAsia="es-CL"/>
              </w:rPr>
              <w:footnoteReference w:id="9"/>
            </w:r>
          </w:p>
        </w:tc>
        <w:tc>
          <w:tcPr>
            <w:tcW w:w="1200" w:type="dxa"/>
            <w:tcBorders>
              <w:top w:val="nil"/>
              <w:left w:val="nil"/>
              <w:bottom w:val="single" w:sz="4" w:space="0" w:color="auto"/>
              <w:right w:val="single" w:sz="4" w:space="0" w:color="auto"/>
            </w:tcBorders>
            <w:shd w:val="clear" w:color="auto" w:fill="auto"/>
            <w:noWrap/>
            <w:vAlign w:val="bottom"/>
            <w:hideMark/>
          </w:tcPr>
          <w:p w14:paraId="2309F4C4" w14:textId="77777777" w:rsidR="00241B37" w:rsidRPr="00241B37" w:rsidRDefault="00241B37" w:rsidP="00241B37">
            <w:pPr>
              <w:spacing w:after="0" w:line="240" w:lineRule="auto"/>
              <w:jc w:val="right"/>
              <w:rPr>
                <w:rFonts w:ascii="FS Elliot Pro" w:eastAsia="Times New Roman" w:hAnsi="FS Elliot Pro" w:cs="Calibri"/>
                <w:color w:val="000000"/>
                <w:lang w:eastAsia="es-CL"/>
              </w:rPr>
            </w:pPr>
            <w:r w:rsidRPr="00241B37">
              <w:rPr>
                <w:rFonts w:ascii="FS Elliot Pro" w:eastAsia="Times New Roman" w:hAnsi="FS Elliot Pro" w:cs="Calibri"/>
                <w:color w:val="000000"/>
                <w:lang w:eastAsia="es-CL"/>
              </w:rPr>
              <w:t>100%</w:t>
            </w:r>
          </w:p>
        </w:tc>
      </w:tr>
      <w:tr w:rsidR="00241B37" w:rsidRPr="00241B37" w14:paraId="7D38B5C0" w14:textId="77777777" w:rsidTr="00241B37">
        <w:trPr>
          <w:trHeight w:val="290"/>
        </w:trPr>
        <w:tc>
          <w:tcPr>
            <w:tcW w:w="7980" w:type="dxa"/>
            <w:tcBorders>
              <w:top w:val="nil"/>
              <w:left w:val="single" w:sz="4" w:space="0" w:color="auto"/>
              <w:bottom w:val="single" w:sz="4" w:space="0" w:color="auto"/>
              <w:right w:val="single" w:sz="4" w:space="0" w:color="auto"/>
            </w:tcBorders>
            <w:shd w:val="clear" w:color="auto" w:fill="auto"/>
            <w:noWrap/>
            <w:vAlign w:val="bottom"/>
            <w:hideMark/>
          </w:tcPr>
          <w:p w14:paraId="2251C8E4" w14:textId="0DE41488" w:rsidR="00241B37" w:rsidRPr="00241B37" w:rsidRDefault="00241B37" w:rsidP="00241B37">
            <w:pPr>
              <w:spacing w:after="0" w:line="240" w:lineRule="auto"/>
              <w:rPr>
                <w:rFonts w:ascii="FS Elliot Pro" w:eastAsia="Times New Roman" w:hAnsi="FS Elliot Pro" w:cs="Calibri"/>
                <w:color w:val="000000"/>
                <w:lang w:eastAsia="es-CL"/>
              </w:rPr>
            </w:pPr>
            <w:r w:rsidRPr="00241B37">
              <w:rPr>
                <w:rFonts w:ascii="FS Elliot Pro" w:eastAsia="Times New Roman" w:hAnsi="FS Elliot Pro" w:cs="Calibri"/>
                <w:color w:val="000000"/>
                <w:lang w:eastAsia="es-CL"/>
              </w:rPr>
              <w:t>Bonos Corporativos de Empresas constituidas en Chile</w:t>
            </w:r>
            <w:r w:rsidR="001D08F8">
              <w:rPr>
                <w:rStyle w:val="Refdenotaalpie"/>
                <w:rFonts w:ascii="FS Elliot Pro" w:eastAsia="Times New Roman" w:hAnsi="FS Elliot Pro" w:cs="Calibri"/>
                <w:color w:val="000000"/>
                <w:lang w:eastAsia="es-CL"/>
              </w:rPr>
              <w:footnoteReference w:id="10"/>
            </w:r>
          </w:p>
        </w:tc>
        <w:tc>
          <w:tcPr>
            <w:tcW w:w="1200" w:type="dxa"/>
            <w:tcBorders>
              <w:top w:val="nil"/>
              <w:left w:val="nil"/>
              <w:bottom w:val="single" w:sz="4" w:space="0" w:color="auto"/>
              <w:right w:val="single" w:sz="4" w:space="0" w:color="auto"/>
            </w:tcBorders>
            <w:shd w:val="clear" w:color="auto" w:fill="auto"/>
            <w:noWrap/>
            <w:vAlign w:val="bottom"/>
            <w:hideMark/>
          </w:tcPr>
          <w:p w14:paraId="36949584" w14:textId="77777777" w:rsidR="00241B37" w:rsidRPr="00241B37" w:rsidRDefault="00241B37" w:rsidP="00241B37">
            <w:pPr>
              <w:spacing w:after="0" w:line="240" w:lineRule="auto"/>
              <w:jc w:val="right"/>
              <w:rPr>
                <w:rFonts w:ascii="FS Elliot Pro" w:eastAsia="Times New Roman" w:hAnsi="FS Elliot Pro" w:cs="Calibri"/>
                <w:color w:val="000000"/>
                <w:lang w:eastAsia="es-CL"/>
              </w:rPr>
            </w:pPr>
            <w:r w:rsidRPr="00241B37">
              <w:rPr>
                <w:rFonts w:ascii="FS Elliot Pro" w:eastAsia="Times New Roman" w:hAnsi="FS Elliot Pro" w:cs="Calibri"/>
                <w:color w:val="000000"/>
                <w:lang w:eastAsia="es-CL"/>
              </w:rPr>
              <w:t>50%</w:t>
            </w:r>
          </w:p>
        </w:tc>
      </w:tr>
    </w:tbl>
    <w:p w14:paraId="07E44293" w14:textId="77777777" w:rsidR="00397A36" w:rsidRPr="00397A36" w:rsidRDefault="00397A36" w:rsidP="00397A36">
      <w:pPr>
        <w:jc w:val="both"/>
        <w:rPr>
          <w:rFonts w:ascii="FS Elliot Pro" w:hAnsi="FS Elliot Pro"/>
          <w:szCs w:val="28"/>
        </w:rPr>
      </w:pPr>
      <w:r w:rsidRPr="00397A36">
        <w:rPr>
          <w:rFonts w:ascii="FS Elliot Pro" w:hAnsi="FS Elliot Pro"/>
          <w:szCs w:val="28"/>
        </w:rPr>
        <w:t>Será aceptado invertir en los tipos de activos definidos arriba indirectamente a través de algún vehículo o estructura de inversión, como ser una sociedad filial o un fondo mutuo, lo que puede resultar en la incorporación de un tipo de activo que no está expresamente autorizado por esta política. Esto será aceptado sólo si se confirma sin lugar a dudas que la exposición final de esta inversión es a los tipos de activos aprobados arriba. En este caso, los límites de diversificación se aplicarán sobre los activos subyacentes siempre que el vehículo o la estructura de inversión no agregue riesgo de crédito por sí misma. Si ocurriera que el vehículo o la estructura agregan algún riesgo de crédito, se requerirá una autorización especial del Comité de Inversiones Local.</w:t>
      </w:r>
    </w:p>
    <w:p w14:paraId="5ADAC4E9" w14:textId="77777777" w:rsidR="00397A36" w:rsidRPr="00397A36" w:rsidRDefault="00397A36" w:rsidP="00397A36">
      <w:pPr>
        <w:jc w:val="both"/>
        <w:rPr>
          <w:rFonts w:ascii="FS Elliot Pro" w:hAnsi="FS Elliot Pro"/>
          <w:color w:val="2F5496" w:themeColor="accent1" w:themeShade="BF"/>
          <w:szCs w:val="28"/>
        </w:rPr>
      </w:pPr>
    </w:p>
    <w:p w14:paraId="15C111BD" w14:textId="77777777" w:rsidR="002526CE" w:rsidRDefault="002526CE" w:rsidP="002526CE">
      <w:pPr>
        <w:pStyle w:val="Prrafodelista"/>
        <w:numPr>
          <w:ilvl w:val="0"/>
          <w:numId w:val="4"/>
        </w:numPr>
        <w:jc w:val="both"/>
        <w:rPr>
          <w:rFonts w:ascii="FS Elliot Pro" w:hAnsi="FS Elliot Pro"/>
          <w:b/>
          <w:color w:val="2F5496" w:themeColor="accent1" w:themeShade="BF"/>
          <w:szCs w:val="28"/>
        </w:rPr>
      </w:pPr>
      <w:r w:rsidRPr="002526CE">
        <w:rPr>
          <w:rFonts w:ascii="FS Elliot Pro" w:hAnsi="FS Elliot Pro"/>
          <w:b/>
          <w:color w:val="2F5496" w:themeColor="accent1" w:themeShade="BF"/>
          <w:szCs w:val="28"/>
        </w:rPr>
        <w:t>Límites por emisor</w:t>
      </w:r>
    </w:p>
    <w:p w14:paraId="66632345" w14:textId="30655FAE" w:rsidR="00397A36" w:rsidRPr="00FB5B52" w:rsidRDefault="00397A36" w:rsidP="00FB5B52">
      <w:pPr>
        <w:rPr>
          <w:rFonts w:ascii="FS Elliot Pro" w:hAnsi="FS Elliot Pro"/>
          <w:szCs w:val="28"/>
        </w:rPr>
      </w:pPr>
      <w:r w:rsidRPr="00397A36">
        <w:rPr>
          <w:rFonts w:ascii="FS Elliot Pro" w:hAnsi="FS Elliot Pro"/>
          <w:szCs w:val="28"/>
        </w:rPr>
        <w:t xml:space="preserve">El límite por emisor que deberá ser usado en la actividad de inversiones será el límite regulatorio instruido por la Comisión para el Mercado Financiero (CMF) de acuerdo al D.F.L.251. </w:t>
      </w:r>
    </w:p>
    <w:p w14:paraId="044D0069" w14:textId="77777777" w:rsidR="002526CE" w:rsidRDefault="002526CE" w:rsidP="002526CE">
      <w:pPr>
        <w:pStyle w:val="Prrafodelista"/>
        <w:numPr>
          <w:ilvl w:val="0"/>
          <w:numId w:val="4"/>
        </w:numPr>
        <w:jc w:val="both"/>
        <w:rPr>
          <w:rFonts w:ascii="FS Elliot Pro" w:hAnsi="FS Elliot Pro"/>
          <w:b/>
          <w:color w:val="2F5496" w:themeColor="accent1" w:themeShade="BF"/>
          <w:szCs w:val="28"/>
        </w:rPr>
      </w:pPr>
      <w:r w:rsidRPr="002526CE">
        <w:rPr>
          <w:rFonts w:ascii="FS Elliot Pro" w:hAnsi="FS Elliot Pro"/>
          <w:b/>
          <w:color w:val="2F5496" w:themeColor="accent1" w:themeShade="BF"/>
          <w:szCs w:val="28"/>
        </w:rPr>
        <w:t>Límites por moneda</w:t>
      </w:r>
    </w:p>
    <w:p w14:paraId="191576AB" w14:textId="77777777" w:rsidR="00397A36" w:rsidRDefault="00397A36" w:rsidP="00397A36">
      <w:pPr>
        <w:jc w:val="both"/>
        <w:rPr>
          <w:rFonts w:ascii="FS Elliot Pro" w:hAnsi="FS Elliot Pro"/>
          <w:szCs w:val="28"/>
        </w:rPr>
      </w:pPr>
      <w:r w:rsidRPr="00397A36">
        <w:rPr>
          <w:rFonts w:ascii="FS Elliot Pro" w:hAnsi="FS Elliot Pro"/>
          <w:szCs w:val="28"/>
        </w:rPr>
        <w:t>Los activos deberán estar al menos en un 90% invertido en activos denominados en la misma moneda de la Reserva de Ahorro. Para estos efectos, se considerarán las monedas UF, IVP y PESOS como equivalentes.</w:t>
      </w:r>
    </w:p>
    <w:p w14:paraId="67762C46" w14:textId="77777777" w:rsidR="00397A36" w:rsidRPr="00397A36" w:rsidRDefault="00397A36" w:rsidP="00397A36">
      <w:pPr>
        <w:jc w:val="both"/>
        <w:rPr>
          <w:rFonts w:ascii="FS Elliot Pro" w:hAnsi="FS Elliot Pro"/>
          <w:szCs w:val="28"/>
        </w:rPr>
      </w:pPr>
    </w:p>
    <w:p w14:paraId="3B8D7570" w14:textId="77777777" w:rsidR="002526CE" w:rsidRDefault="00397A36" w:rsidP="002526CE">
      <w:pPr>
        <w:pStyle w:val="Prrafodelista"/>
        <w:numPr>
          <w:ilvl w:val="0"/>
          <w:numId w:val="4"/>
        </w:numPr>
        <w:jc w:val="both"/>
        <w:rPr>
          <w:rFonts w:ascii="FS Elliot Pro" w:hAnsi="FS Elliot Pro"/>
          <w:b/>
          <w:color w:val="2F5496" w:themeColor="accent1" w:themeShade="BF"/>
          <w:szCs w:val="28"/>
        </w:rPr>
      </w:pPr>
      <w:r w:rsidRPr="00397A36">
        <w:rPr>
          <w:rFonts w:ascii="FS Elliot Pro" w:hAnsi="FS Elliot Pro"/>
          <w:b/>
          <w:color w:val="2F5496" w:themeColor="accent1" w:themeShade="BF"/>
          <w:szCs w:val="28"/>
        </w:rPr>
        <w:t>Límites de liquidez</w:t>
      </w:r>
    </w:p>
    <w:p w14:paraId="3CDF14C4" w14:textId="77777777" w:rsidR="00397A36" w:rsidRDefault="00397A36" w:rsidP="00397A36">
      <w:pPr>
        <w:jc w:val="both"/>
        <w:rPr>
          <w:rFonts w:ascii="FS Elliot Pro" w:hAnsi="FS Elliot Pro"/>
          <w:szCs w:val="28"/>
        </w:rPr>
      </w:pPr>
      <w:r w:rsidRPr="00397A36">
        <w:rPr>
          <w:rFonts w:ascii="FS Elliot Pro" w:hAnsi="FS Elliot Pro"/>
          <w:szCs w:val="28"/>
        </w:rPr>
        <w:t>En el caso de los instrumentos de renta fija, se exigirá que al menos un 80% de la cartera de renta fija sea de alta liquidez. Para estos efectos, se considerarán instrumentos de renta fija de alta liquidez todos los instrumentos garantizados por el Estado o por el Banco Central, las Letras Hipotecarias, y los depósitos a plazo bancarios. En el caso de las acciones, no se permitirá la adquisición de instrumentos que tengan menos de un 40% de presencia bursátil.</w:t>
      </w:r>
    </w:p>
    <w:p w14:paraId="552C7D31" w14:textId="77777777" w:rsidR="00397A36" w:rsidRPr="00397A36" w:rsidRDefault="00397A36" w:rsidP="00397A36">
      <w:pPr>
        <w:jc w:val="both"/>
        <w:rPr>
          <w:rFonts w:ascii="FS Elliot Pro" w:hAnsi="FS Elliot Pro"/>
          <w:szCs w:val="28"/>
        </w:rPr>
      </w:pPr>
    </w:p>
    <w:p w14:paraId="26CBA069" w14:textId="77777777" w:rsidR="00397A36" w:rsidRDefault="00397A36" w:rsidP="002526CE">
      <w:pPr>
        <w:pStyle w:val="Prrafodelista"/>
        <w:numPr>
          <w:ilvl w:val="0"/>
          <w:numId w:val="4"/>
        </w:numPr>
        <w:jc w:val="both"/>
        <w:rPr>
          <w:rFonts w:ascii="FS Elliot Pro" w:hAnsi="FS Elliot Pro"/>
          <w:b/>
          <w:color w:val="2F5496" w:themeColor="accent1" w:themeShade="BF"/>
          <w:szCs w:val="28"/>
        </w:rPr>
      </w:pPr>
      <w:r w:rsidRPr="00397A36">
        <w:rPr>
          <w:rFonts w:ascii="FS Elliot Pro" w:hAnsi="FS Elliot Pro"/>
          <w:b/>
          <w:color w:val="2F5496" w:themeColor="accent1" w:themeShade="BF"/>
          <w:szCs w:val="28"/>
        </w:rPr>
        <w:t>Límites para endeudamiento</w:t>
      </w:r>
    </w:p>
    <w:p w14:paraId="6CD5AD4A" w14:textId="77777777" w:rsidR="00397A36" w:rsidRPr="00397A36" w:rsidRDefault="00397A36" w:rsidP="00397A36">
      <w:pPr>
        <w:jc w:val="both"/>
        <w:rPr>
          <w:rFonts w:ascii="FS Elliot Pro" w:hAnsi="FS Elliot Pro"/>
          <w:szCs w:val="28"/>
        </w:rPr>
      </w:pPr>
      <w:r w:rsidRPr="00397A36">
        <w:rPr>
          <w:rFonts w:ascii="FS Elliot Pro" w:hAnsi="FS Elliot Pro"/>
          <w:szCs w:val="28"/>
        </w:rPr>
        <w:t>No se permitirá hacer uso de operaciones de endeudamiento para la actividad de inversiones relacionada con las Reservas de Ahorro y Riesgo.</w:t>
      </w:r>
    </w:p>
    <w:p w14:paraId="5C65E538" w14:textId="77777777" w:rsidR="00397A36" w:rsidRPr="00397A36" w:rsidRDefault="00397A36" w:rsidP="00397A36">
      <w:pPr>
        <w:jc w:val="both"/>
        <w:rPr>
          <w:rFonts w:ascii="FS Elliot Pro" w:hAnsi="FS Elliot Pro"/>
          <w:b/>
          <w:color w:val="2F5496" w:themeColor="accent1" w:themeShade="BF"/>
          <w:szCs w:val="28"/>
        </w:rPr>
      </w:pPr>
    </w:p>
    <w:p w14:paraId="4C178091" w14:textId="77777777" w:rsidR="00397A36" w:rsidRDefault="00397A36" w:rsidP="002526CE">
      <w:pPr>
        <w:pStyle w:val="Prrafodelista"/>
        <w:numPr>
          <w:ilvl w:val="0"/>
          <w:numId w:val="4"/>
        </w:numPr>
        <w:jc w:val="both"/>
        <w:rPr>
          <w:rFonts w:ascii="FS Elliot Pro" w:hAnsi="FS Elliot Pro"/>
          <w:b/>
          <w:color w:val="2F5496" w:themeColor="accent1" w:themeShade="BF"/>
          <w:szCs w:val="28"/>
        </w:rPr>
      </w:pPr>
      <w:r w:rsidRPr="00397A36">
        <w:rPr>
          <w:rFonts w:ascii="FS Elliot Pro" w:hAnsi="FS Elliot Pro"/>
          <w:b/>
          <w:color w:val="2F5496" w:themeColor="accent1" w:themeShade="BF"/>
          <w:szCs w:val="28"/>
        </w:rPr>
        <w:t>Límites para el uso de derivados</w:t>
      </w:r>
    </w:p>
    <w:p w14:paraId="3CAC11BE" w14:textId="77777777" w:rsidR="00397A36" w:rsidRDefault="00397A36" w:rsidP="00397A36">
      <w:pPr>
        <w:jc w:val="both"/>
        <w:rPr>
          <w:rFonts w:ascii="FS Elliot Pro" w:hAnsi="FS Elliot Pro"/>
          <w:szCs w:val="28"/>
        </w:rPr>
      </w:pPr>
      <w:r w:rsidRPr="00397A36">
        <w:rPr>
          <w:rFonts w:ascii="FS Elliot Pro" w:hAnsi="FS Elliot Pro"/>
          <w:szCs w:val="28"/>
        </w:rPr>
        <w:t>El uso de derivados será para reducir el riesgo de los activos del portafolio, para cubrir el riesgo de descalce de monedas o de tasa de interés, o para simular una operación aprobada de una manera más eficiente. El uso de derivados deberá regirse por la Política de Utilización de Productos Derivados, y deberá ser aprobado por el Comité de Inversiones de Principal International así como por el Comité de Inversiones Local.</w:t>
      </w:r>
    </w:p>
    <w:p w14:paraId="30318269" w14:textId="77777777" w:rsidR="00397A36" w:rsidRPr="00397A36" w:rsidRDefault="00397A36" w:rsidP="00397A36">
      <w:pPr>
        <w:jc w:val="both"/>
        <w:rPr>
          <w:rFonts w:ascii="FS Elliot Pro" w:hAnsi="FS Elliot Pro"/>
          <w:szCs w:val="28"/>
        </w:rPr>
      </w:pPr>
    </w:p>
    <w:p w14:paraId="7664CE8F" w14:textId="77777777" w:rsidR="00397A36" w:rsidRDefault="00397A36" w:rsidP="002526CE">
      <w:pPr>
        <w:pStyle w:val="Prrafodelista"/>
        <w:numPr>
          <w:ilvl w:val="0"/>
          <w:numId w:val="4"/>
        </w:numPr>
        <w:jc w:val="both"/>
        <w:rPr>
          <w:rFonts w:ascii="FS Elliot Pro" w:hAnsi="FS Elliot Pro"/>
          <w:b/>
          <w:color w:val="2F5496" w:themeColor="accent1" w:themeShade="BF"/>
          <w:szCs w:val="28"/>
        </w:rPr>
      </w:pPr>
      <w:r w:rsidRPr="00397A36">
        <w:rPr>
          <w:rFonts w:ascii="FS Elliot Pro" w:hAnsi="FS Elliot Pro"/>
          <w:b/>
          <w:color w:val="2F5496" w:themeColor="accent1" w:themeShade="BF"/>
          <w:szCs w:val="28"/>
        </w:rPr>
        <w:t>Cumplimiento de estos límites</w:t>
      </w:r>
    </w:p>
    <w:p w14:paraId="225309E3" w14:textId="6C7DFE8B" w:rsidR="00397A36" w:rsidRPr="00397A36" w:rsidRDefault="00FB5B52" w:rsidP="00397A36">
      <w:pPr>
        <w:jc w:val="both"/>
        <w:rPr>
          <w:rFonts w:ascii="FS Elliot Pro" w:hAnsi="FS Elliot Pro"/>
          <w:szCs w:val="28"/>
        </w:rPr>
      </w:pPr>
      <w:r w:rsidRPr="00FB5B52">
        <w:rPr>
          <w:rFonts w:ascii="FS Elliot Pro" w:hAnsi="FS Elliot Pro"/>
          <w:szCs w:val="28"/>
        </w:rPr>
        <w:t>Las desviaciones de estos límites serán reportadas en el siguiente comité de inversiones local en donde se explicarán las causas y se acordarán los pasos a seguir</w:t>
      </w:r>
      <w:r>
        <w:rPr>
          <w:rFonts w:ascii="FS Elliot Pro" w:hAnsi="FS Elliot Pro"/>
          <w:szCs w:val="28"/>
        </w:rPr>
        <w:t>.</w:t>
      </w:r>
    </w:p>
    <w:p w14:paraId="66AF178A" w14:textId="77777777" w:rsidR="00397A36" w:rsidRDefault="00397A36" w:rsidP="002526CE">
      <w:pPr>
        <w:pStyle w:val="Prrafodelista"/>
        <w:numPr>
          <w:ilvl w:val="0"/>
          <w:numId w:val="4"/>
        </w:numPr>
        <w:jc w:val="both"/>
        <w:rPr>
          <w:rFonts w:ascii="FS Elliot Pro" w:hAnsi="FS Elliot Pro"/>
          <w:b/>
          <w:color w:val="2F5496" w:themeColor="accent1" w:themeShade="BF"/>
          <w:szCs w:val="28"/>
        </w:rPr>
      </w:pPr>
      <w:r w:rsidRPr="00397A36">
        <w:rPr>
          <w:rFonts w:ascii="FS Elliot Pro" w:hAnsi="FS Elliot Pro"/>
          <w:b/>
          <w:color w:val="2F5496" w:themeColor="accent1" w:themeShade="BF"/>
          <w:szCs w:val="28"/>
        </w:rPr>
        <w:t>Revisión anual</w:t>
      </w:r>
    </w:p>
    <w:p w14:paraId="6626ED4F" w14:textId="77777777" w:rsidR="00397A36" w:rsidRPr="00397A36" w:rsidRDefault="00397A36" w:rsidP="00397A36">
      <w:pPr>
        <w:jc w:val="both"/>
        <w:rPr>
          <w:rFonts w:ascii="FS Elliot Pro" w:hAnsi="FS Elliot Pro"/>
          <w:szCs w:val="28"/>
        </w:rPr>
      </w:pPr>
      <w:r w:rsidRPr="00397A36">
        <w:rPr>
          <w:rFonts w:ascii="FS Elliot Pro" w:hAnsi="FS Elliot Pro"/>
          <w:szCs w:val="28"/>
        </w:rPr>
        <w:t>Esta Política de Inversiones será revisada al menos una vez al año para asegurarse de que este documento mantiene su vigencia, y cada cambio propuesto se presentará al Comité de Inversiones de Principal Vida y deberá ser ratificada por el Directorio de Principal Vida Chile.</w:t>
      </w:r>
    </w:p>
    <w:p w14:paraId="7E6AEA47" w14:textId="77777777" w:rsidR="00397A36" w:rsidRPr="00654CEB" w:rsidRDefault="00397A36" w:rsidP="00397A36">
      <w:pPr>
        <w:pBdr>
          <w:bottom w:val="single" w:sz="12" w:space="1" w:color="auto"/>
        </w:pBdr>
        <w:jc w:val="both"/>
        <w:rPr>
          <w:rFonts w:ascii="FS Elliot Pro" w:hAnsi="FS Elliot Pro"/>
          <w:szCs w:val="28"/>
        </w:rPr>
      </w:pPr>
    </w:p>
    <w:p w14:paraId="66AAAC4A" w14:textId="77777777" w:rsidR="00397A36" w:rsidRPr="00092A74" w:rsidRDefault="00397A36" w:rsidP="00397A36">
      <w:pPr>
        <w:jc w:val="both"/>
        <w:rPr>
          <w:rFonts w:ascii="FS Elliot Pro" w:hAnsi="FS Elliot Pro"/>
          <w:b/>
          <w:color w:val="2F5496" w:themeColor="accent1" w:themeShade="BF"/>
          <w:szCs w:val="28"/>
        </w:rPr>
      </w:pPr>
    </w:p>
    <w:p w14:paraId="3CA06E85" w14:textId="77777777" w:rsidR="00397A36" w:rsidRDefault="00397A36" w:rsidP="00397A36">
      <w:pPr>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4</w:t>
      </w:r>
      <w:r w:rsidRPr="001F1CF3">
        <w:rPr>
          <w:rFonts w:ascii="FS Elliot Pro" w:hAnsi="FS Elliot Pro"/>
          <w:b/>
          <w:color w:val="2F5496" w:themeColor="accent1" w:themeShade="BF"/>
          <w:sz w:val="28"/>
          <w:szCs w:val="28"/>
        </w:rPr>
        <w:t>.</w:t>
      </w:r>
      <w:r>
        <w:rPr>
          <w:rFonts w:ascii="FS Elliot Pro" w:hAnsi="FS Elliot Pro"/>
          <w:b/>
          <w:color w:val="2F5496" w:themeColor="accent1" w:themeShade="BF"/>
          <w:sz w:val="28"/>
          <w:szCs w:val="28"/>
        </w:rPr>
        <w:t xml:space="preserve"> </w:t>
      </w:r>
      <w:r w:rsidRPr="00397A36">
        <w:rPr>
          <w:rFonts w:ascii="FS Elliot Pro" w:hAnsi="FS Elliot Pro"/>
          <w:b/>
          <w:color w:val="2F5496" w:themeColor="accent1" w:themeShade="BF"/>
          <w:sz w:val="28"/>
          <w:szCs w:val="28"/>
        </w:rPr>
        <w:t>Otras Inversiones</w:t>
      </w:r>
    </w:p>
    <w:p w14:paraId="71BCC3C6" w14:textId="77777777" w:rsidR="00397A36" w:rsidRPr="001B3E1F" w:rsidRDefault="00397A36" w:rsidP="00397A36">
      <w:pPr>
        <w:rPr>
          <w:rFonts w:ascii="FS Elliot Pro" w:hAnsi="FS Elliot Pro"/>
          <w:b/>
          <w:color w:val="2F5496" w:themeColor="accent1" w:themeShade="BF"/>
          <w:sz w:val="24"/>
          <w:szCs w:val="28"/>
        </w:rPr>
      </w:pPr>
    </w:p>
    <w:p w14:paraId="71AF6C80" w14:textId="77777777" w:rsidR="00397A36" w:rsidRPr="001F1CF3" w:rsidRDefault="00397A36" w:rsidP="00397A36">
      <w:pPr>
        <w:rPr>
          <w:rFonts w:ascii="FS Elliot Pro" w:hAnsi="FS Elliot Pro"/>
          <w:b/>
          <w:color w:val="2F5496" w:themeColor="accent1" w:themeShade="BF"/>
          <w:sz w:val="28"/>
          <w:szCs w:val="28"/>
        </w:rPr>
      </w:pPr>
      <w:r w:rsidRPr="001F1CF3">
        <w:rPr>
          <w:rFonts w:ascii="FS Elliot Pro" w:hAnsi="FS Elliot Pro"/>
          <w:b/>
          <w:color w:val="2F5496" w:themeColor="accent1" w:themeShade="BF"/>
          <w:sz w:val="28"/>
          <w:szCs w:val="28"/>
        </w:rPr>
        <w:t>a. Propósito</w:t>
      </w:r>
      <w:r>
        <w:rPr>
          <w:rFonts w:ascii="FS Elliot Pro" w:hAnsi="FS Elliot Pro"/>
          <w:b/>
          <w:color w:val="2F5496" w:themeColor="accent1" w:themeShade="BF"/>
          <w:sz w:val="28"/>
          <w:szCs w:val="28"/>
        </w:rPr>
        <w:t>s</w:t>
      </w:r>
    </w:p>
    <w:p w14:paraId="71E26827" w14:textId="77777777" w:rsidR="00397A36" w:rsidRPr="00D00B0A" w:rsidRDefault="00397A36" w:rsidP="00397A36">
      <w:pPr>
        <w:jc w:val="both"/>
        <w:rPr>
          <w:rFonts w:ascii="FS Elliot Pro" w:hAnsi="FS Elliot Pro"/>
          <w:b/>
        </w:rPr>
      </w:pPr>
      <w:r w:rsidRPr="00D00B0A">
        <w:rPr>
          <w:rFonts w:ascii="FS Elliot Pro" w:hAnsi="FS Elliot Pro"/>
          <w:b/>
          <w:color w:val="2F5496" w:themeColor="accent1" w:themeShade="BF"/>
        </w:rPr>
        <w:t xml:space="preserve">• Instrumentos considerados en Política de Otras Inversiones </w:t>
      </w:r>
    </w:p>
    <w:p w14:paraId="15C2918A" w14:textId="0529B5B8" w:rsidR="00397A36" w:rsidRPr="00397A36" w:rsidRDefault="00397A36" w:rsidP="00397A36">
      <w:pPr>
        <w:jc w:val="both"/>
        <w:rPr>
          <w:rFonts w:ascii="FS Elliot Pro" w:hAnsi="FS Elliot Pro"/>
        </w:rPr>
      </w:pPr>
      <w:r w:rsidRPr="00397A36">
        <w:rPr>
          <w:rFonts w:ascii="FS Elliot Pro" w:hAnsi="FS Elliot Pro"/>
        </w:rPr>
        <w:t xml:space="preserve">Esta política es extensiva para </w:t>
      </w:r>
      <w:r w:rsidR="00FB5B52">
        <w:rPr>
          <w:rFonts w:ascii="FS Elliot Pro" w:hAnsi="FS Elliot Pro"/>
        </w:rPr>
        <w:t>todos los instrumentos recogidos en la normativa.</w:t>
      </w:r>
    </w:p>
    <w:p w14:paraId="645607DD" w14:textId="77777777" w:rsidR="00397A36" w:rsidRPr="00D00B0A" w:rsidRDefault="00397A36" w:rsidP="00397A36">
      <w:pPr>
        <w:jc w:val="both"/>
        <w:rPr>
          <w:rFonts w:ascii="FS Elliot Pro" w:hAnsi="FS Elliot Pro"/>
          <w:b/>
          <w:color w:val="2F5496" w:themeColor="accent1" w:themeShade="BF"/>
        </w:rPr>
      </w:pPr>
      <w:r w:rsidRPr="00D00B0A">
        <w:rPr>
          <w:rFonts w:ascii="FS Elliot Pro" w:hAnsi="FS Elliot Pro"/>
          <w:b/>
          <w:color w:val="2F5496" w:themeColor="accent1" w:themeShade="BF"/>
        </w:rPr>
        <w:t xml:space="preserve">• Objetivo que busca la Política de Otras Inversiones </w:t>
      </w:r>
    </w:p>
    <w:p w14:paraId="537893FB" w14:textId="77777777" w:rsidR="00397A36" w:rsidRPr="00397A36" w:rsidRDefault="00397A36" w:rsidP="00397A36">
      <w:pPr>
        <w:jc w:val="both"/>
        <w:rPr>
          <w:rFonts w:ascii="FS Elliot Pro" w:hAnsi="FS Elliot Pro"/>
        </w:rPr>
      </w:pPr>
      <w:r w:rsidRPr="00397A36">
        <w:rPr>
          <w:rFonts w:ascii="FS Elliot Pro" w:hAnsi="FS Elliot Pro"/>
        </w:rPr>
        <w:t xml:space="preserve">Con respecto al uso de la Política de Otras Inversiones, la adquisición de este tipo de inversiones sólo puede efectuarse producto: </w:t>
      </w:r>
    </w:p>
    <w:p w14:paraId="53D1F733" w14:textId="77777777" w:rsidR="00397A36" w:rsidRPr="00397A36" w:rsidRDefault="00397A36" w:rsidP="00397A36">
      <w:pPr>
        <w:jc w:val="both"/>
        <w:rPr>
          <w:rFonts w:ascii="FS Elliot Pro" w:hAnsi="FS Elliot Pro"/>
        </w:rPr>
      </w:pPr>
      <w:r w:rsidRPr="00397A36">
        <w:rPr>
          <w:rFonts w:ascii="FS Elliot Pro" w:hAnsi="FS Elliot Pro"/>
        </w:rPr>
        <w:t xml:space="preserve">1. Del proceso de adjudicación de bienes raíces antes mantenidos en la cartera de mutuos hipotecarios. </w:t>
      </w:r>
    </w:p>
    <w:p w14:paraId="39053266" w14:textId="43321387" w:rsidR="00397A36" w:rsidRPr="00397A36" w:rsidRDefault="00397A36" w:rsidP="00397A36">
      <w:pPr>
        <w:jc w:val="both"/>
        <w:rPr>
          <w:rFonts w:ascii="FS Elliot Pro" w:hAnsi="FS Elliot Pro"/>
        </w:rPr>
      </w:pPr>
      <w:r w:rsidRPr="00397A36">
        <w:rPr>
          <w:rFonts w:ascii="FS Elliot Pro" w:hAnsi="FS Elliot Pro"/>
        </w:rPr>
        <w:t xml:space="preserve">2. Por compra de bienes raíces siempre que estos hayan sido aprobados especialmente en sesiones del </w:t>
      </w:r>
      <w:r w:rsidR="004511EB">
        <w:rPr>
          <w:rFonts w:ascii="FS Elliot Pro" w:hAnsi="FS Elliot Pro"/>
        </w:rPr>
        <w:t>C</w:t>
      </w:r>
      <w:r w:rsidRPr="00397A36">
        <w:rPr>
          <w:rFonts w:ascii="FS Elliot Pro" w:hAnsi="FS Elliot Pro"/>
        </w:rPr>
        <w:t xml:space="preserve">omité de </w:t>
      </w:r>
      <w:r w:rsidR="004511EB">
        <w:rPr>
          <w:rFonts w:ascii="FS Elliot Pro" w:hAnsi="FS Elliot Pro"/>
        </w:rPr>
        <w:t>I</w:t>
      </w:r>
      <w:r w:rsidRPr="00397A36">
        <w:rPr>
          <w:rFonts w:ascii="FS Elliot Pro" w:hAnsi="FS Elliot Pro"/>
        </w:rPr>
        <w:t xml:space="preserve">nversiones de la compañía. </w:t>
      </w:r>
    </w:p>
    <w:p w14:paraId="176B48DA" w14:textId="77777777" w:rsidR="00397A36" w:rsidRPr="00397A36" w:rsidRDefault="00397A36" w:rsidP="00397A36">
      <w:pPr>
        <w:jc w:val="both"/>
        <w:rPr>
          <w:rFonts w:ascii="FS Elliot Pro" w:hAnsi="FS Elliot Pro"/>
        </w:rPr>
      </w:pPr>
      <w:r w:rsidRPr="00397A36">
        <w:rPr>
          <w:rFonts w:ascii="FS Elliot Pro" w:hAnsi="FS Elliot Pro"/>
        </w:rPr>
        <w:t xml:space="preserve">3. Por adquisición de contratos de leasing habitacional y de los bienes raíces asociados a éstos a una entidad que otorgue estos contratos en conformidad con lo dispuesto en la Ley Nº 19.281. </w:t>
      </w:r>
    </w:p>
    <w:p w14:paraId="09D685DA" w14:textId="5599E94F" w:rsidR="00397A36" w:rsidRDefault="00397A36" w:rsidP="00397A36">
      <w:pPr>
        <w:jc w:val="both"/>
        <w:rPr>
          <w:rFonts w:ascii="FS Elliot Pro" w:hAnsi="FS Elliot Pro"/>
        </w:rPr>
      </w:pPr>
      <w:r w:rsidRPr="00397A36">
        <w:rPr>
          <w:rFonts w:ascii="FS Elliot Pro" w:hAnsi="FS Elliot Pro"/>
        </w:rPr>
        <w:t>4. Por adquisición de Aportes Financieros Reembolsables, que cumplan con lo estipulado en el oficio circular N°651.</w:t>
      </w:r>
    </w:p>
    <w:p w14:paraId="0C984E6C" w14:textId="2BBA181D" w:rsidR="00821017" w:rsidRDefault="00821017" w:rsidP="00397A36">
      <w:pPr>
        <w:jc w:val="both"/>
        <w:rPr>
          <w:rFonts w:ascii="FS Elliot Pro" w:hAnsi="FS Elliot Pro"/>
        </w:rPr>
      </w:pPr>
      <w:r>
        <w:rPr>
          <w:rFonts w:ascii="FS Elliot Pro" w:hAnsi="FS Elliot Pro"/>
        </w:rPr>
        <w:t xml:space="preserve">5. La adquisición </w:t>
      </w:r>
      <w:r w:rsidR="00073AE3">
        <w:rPr>
          <w:rFonts w:ascii="FS Elliot Pro" w:hAnsi="FS Elliot Pro"/>
        </w:rPr>
        <w:t xml:space="preserve">de un instrumento que se emita </w:t>
      </w:r>
      <w:r w:rsidR="00E820EB">
        <w:rPr>
          <w:rFonts w:ascii="FS Elliot Pro" w:hAnsi="FS Elliot Pro"/>
        </w:rPr>
        <w:t>o bien sea modificado</w:t>
      </w:r>
      <w:r w:rsidR="00811435">
        <w:rPr>
          <w:rFonts w:ascii="FS Elliot Pro" w:hAnsi="FS Elliot Pro"/>
        </w:rPr>
        <w:t xml:space="preserve"> dentro o como consecuencia </w:t>
      </w:r>
      <w:r w:rsidR="00542C9F">
        <w:rPr>
          <w:rFonts w:ascii="FS Elliot Pro" w:hAnsi="FS Elliot Pro"/>
        </w:rPr>
        <w:t xml:space="preserve">de un proceso de reorganización </w:t>
      </w:r>
      <w:r w:rsidR="008975A7">
        <w:rPr>
          <w:rFonts w:ascii="FS Elliot Pro" w:hAnsi="FS Elliot Pro"/>
        </w:rPr>
        <w:t xml:space="preserve">y/o liquidación </w:t>
      </w:r>
      <w:r w:rsidR="00B23225">
        <w:rPr>
          <w:rFonts w:ascii="FS Elliot Pro" w:hAnsi="FS Elliot Pro"/>
        </w:rPr>
        <w:t xml:space="preserve">judicial </w:t>
      </w:r>
      <w:r w:rsidR="00DC65E5">
        <w:rPr>
          <w:rFonts w:ascii="FS Elliot Pro" w:hAnsi="FS Elliot Pro"/>
        </w:rPr>
        <w:t xml:space="preserve">de aquellos regulados </w:t>
      </w:r>
      <w:r w:rsidR="005829BE">
        <w:rPr>
          <w:rFonts w:ascii="FS Elliot Pro" w:hAnsi="FS Elliot Pro"/>
        </w:rPr>
        <w:t>en la Ley N°</w:t>
      </w:r>
      <w:r w:rsidR="009F088D">
        <w:rPr>
          <w:rFonts w:ascii="FS Elliot Pro" w:hAnsi="FS Elliot Pro"/>
        </w:rPr>
        <w:t>20.720.</w:t>
      </w:r>
      <w:r w:rsidR="006C2C64">
        <w:rPr>
          <w:rFonts w:ascii="FS Elliot Pro" w:hAnsi="FS Elliot Pro"/>
        </w:rPr>
        <w:t xml:space="preserve">, siempre que su adquisición </w:t>
      </w:r>
      <w:r w:rsidR="00CA0312">
        <w:rPr>
          <w:rFonts w:ascii="FS Elliot Pro" w:hAnsi="FS Elliot Pro"/>
        </w:rPr>
        <w:t xml:space="preserve">sea aprobada por el Comité de Inversiones </w:t>
      </w:r>
      <w:r w:rsidR="0084696A">
        <w:rPr>
          <w:rFonts w:ascii="FS Elliot Pro" w:hAnsi="FS Elliot Pro"/>
        </w:rPr>
        <w:t xml:space="preserve">con el propósito </w:t>
      </w:r>
      <w:r w:rsidR="00F17448">
        <w:rPr>
          <w:rFonts w:ascii="FS Elliot Pro" w:hAnsi="FS Elliot Pro"/>
        </w:rPr>
        <w:t xml:space="preserve">de resguardar </w:t>
      </w:r>
      <w:r w:rsidR="00126B57">
        <w:rPr>
          <w:rFonts w:ascii="FS Elliot Pro" w:hAnsi="FS Elliot Pro"/>
        </w:rPr>
        <w:t xml:space="preserve">a la Compañía </w:t>
      </w:r>
      <w:r w:rsidR="00B20246">
        <w:rPr>
          <w:rFonts w:ascii="FS Elliot Pro" w:hAnsi="FS Elliot Pro"/>
        </w:rPr>
        <w:t xml:space="preserve">de las pérdidas </w:t>
      </w:r>
      <w:r w:rsidR="0095210E">
        <w:rPr>
          <w:rFonts w:ascii="FS Elliot Pro" w:hAnsi="FS Elliot Pro"/>
        </w:rPr>
        <w:t xml:space="preserve">asociadas a un activo </w:t>
      </w:r>
      <w:r w:rsidR="0049061B">
        <w:rPr>
          <w:rFonts w:ascii="FS Elliot Pro" w:hAnsi="FS Elliot Pro"/>
        </w:rPr>
        <w:t xml:space="preserve">en que la Compañía </w:t>
      </w:r>
      <w:r w:rsidR="0088676A">
        <w:rPr>
          <w:rFonts w:ascii="FS Elliot Pro" w:hAnsi="FS Elliot Pro"/>
        </w:rPr>
        <w:t xml:space="preserve">haya invertido </w:t>
      </w:r>
      <w:r w:rsidR="008A4764">
        <w:rPr>
          <w:rFonts w:ascii="FS Elliot Pro" w:hAnsi="FS Elliot Pro"/>
        </w:rPr>
        <w:t xml:space="preserve">previamente </w:t>
      </w:r>
      <w:r w:rsidR="00CC0B7F">
        <w:rPr>
          <w:rFonts w:ascii="FS Elliot Pro" w:hAnsi="FS Elliot Pro"/>
        </w:rPr>
        <w:t xml:space="preserve">y cuyo emisor </w:t>
      </w:r>
      <w:r w:rsidR="002337B7">
        <w:rPr>
          <w:rFonts w:ascii="FS Elliot Pro" w:hAnsi="FS Elliot Pro"/>
        </w:rPr>
        <w:t xml:space="preserve">sea objeto </w:t>
      </w:r>
      <w:r w:rsidR="00C4508B">
        <w:rPr>
          <w:rFonts w:ascii="FS Elliot Pro" w:hAnsi="FS Elliot Pro"/>
        </w:rPr>
        <w:t xml:space="preserve">del referido proceso </w:t>
      </w:r>
      <w:r w:rsidR="00F135C9">
        <w:rPr>
          <w:rFonts w:ascii="FS Elliot Pro" w:hAnsi="FS Elliot Pro"/>
        </w:rPr>
        <w:t xml:space="preserve">de reorganización y/o </w:t>
      </w:r>
      <w:r w:rsidR="00B179EF">
        <w:rPr>
          <w:rFonts w:ascii="FS Elliot Pro" w:hAnsi="FS Elliot Pro"/>
        </w:rPr>
        <w:t xml:space="preserve">liquidación. </w:t>
      </w:r>
    </w:p>
    <w:p w14:paraId="1D3BD88B" w14:textId="5D7B0F73" w:rsidR="00C539F2" w:rsidRDefault="00C539F2" w:rsidP="00397A36">
      <w:pPr>
        <w:jc w:val="both"/>
        <w:rPr>
          <w:rFonts w:ascii="FS Elliot Pro" w:hAnsi="FS Elliot Pro"/>
        </w:rPr>
      </w:pPr>
      <w:r>
        <w:rPr>
          <w:rFonts w:ascii="FS Elliot Pro" w:hAnsi="FS Elliot Pro"/>
        </w:rPr>
        <w:t xml:space="preserve">6. </w:t>
      </w:r>
      <w:r w:rsidR="003439E0" w:rsidRPr="003439E0">
        <w:rPr>
          <w:rFonts w:ascii="FS Elliot Pro" w:hAnsi="FS Elliot Pro"/>
        </w:rPr>
        <w:t>Bonos que transen en el mercado público nacional y que no sean emitidos por aquellas instituciones señaladas en el numeral 1.c) de la NCG N°152.</w:t>
      </w:r>
    </w:p>
    <w:p w14:paraId="05D9A795" w14:textId="77777777" w:rsidR="00397A36" w:rsidRDefault="00397A36" w:rsidP="00397A36">
      <w:pPr>
        <w:jc w:val="both"/>
        <w:rPr>
          <w:rFonts w:ascii="FS Elliot Pro" w:hAnsi="FS Elliot Pro"/>
        </w:rPr>
      </w:pPr>
    </w:p>
    <w:p w14:paraId="09FEB921" w14:textId="77777777" w:rsidR="00397A36" w:rsidRDefault="00397A36" w:rsidP="00397A36">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b. Alcance</w:t>
      </w:r>
    </w:p>
    <w:p w14:paraId="0C10CABC" w14:textId="77777777" w:rsidR="00397A36" w:rsidRDefault="00397A36" w:rsidP="00397A36">
      <w:pPr>
        <w:spacing w:line="240" w:lineRule="auto"/>
        <w:jc w:val="both"/>
        <w:rPr>
          <w:rFonts w:ascii="FS Elliot Pro" w:hAnsi="FS Elliot Pro"/>
        </w:rPr>
      </w:pPr>
      <w:r w:rsidRPr="001F1CF3">
        <w:rPr>
          <w:rFonts w:ascii="FS Elliot Pro" w:hAnsi="FS Elliot Pro"/>
        </w:rPr>
        <w:t xml:space="preserve">Esta política </w:t>
      </w:r>
      <w:r>
        <w:rPr>
          <w:rFonts w:ascii="FS Elliot Pro" w:hAnsi="FS Elliot Pro"/>
        </w:rPr>
        <w:t>aplica a todos los directores y colaboradores de PVCH.</w:t>
      </w:r>
    </w:p>
    <w:p w14:paraId="7B3E340F" w14:textId="77777777" w:rsidR="00397A36" w:rsidRPr="001F1CF3" w:rsidRDefault="00397A36" w:rsidP="00397A36">
      <w:pPr>
        <w:jc w:val="both"/>
        <w:rPr>
          <w:rFonts w:ascii="FS Elliot Pro" w:hAnsi="FS Elliot Pro"/>
          <w:sz w:val="24"/>
          <w:szCs w:val="24"/>
        </w:rPr>
      </w:pPr>
    </w:p>
    <w:p w14:paraId="1C601245" w14:textId="77777777" w:rsidR="00397A36" w:rsidRDefault="00397A36" w:rsidP="00397A36">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c. Estándares</w:t>
      </w:r>
    </w:p>
    <w:p w14:paraId="2CA9AD6B" w14:textId="77777777" w:rsidR="00D00B0A" w:rsidRPr="00D00B0A" w:rsidRDefault="00D00B0A" w:rsidP="00D00B0A">
      <w:pPr>
        <w:pStyle w:val="Prrafodelista"/>
        <w:numPr>
          <w:ilvl w:val="0"/>
          <w:numId w:val="6"/>
        </w:numPr>
        <w:jc w:val="both"/>
        <w:rPr>
          <w:rFonts w:ascii="FS Elliot Pro" w:hAnsi="FS Elliot Pro"/>
          <w:b/>
          <w:color w:val="2F5496" w:themeColor="accent1" w:themeShade="BF"/>
        </w:rPr>
      </w:pPr>
      <w:r w:rsidRPr="00D00B0A">
        <w:rPr>
          <w:rFonts w:ascii="FS Elliot Pro" w:hAnsi="FS Elliot Pro"/>
          <w:b/>
          <w:color w:val="2F5496" w:themeColor="accent1" w:themeShade="BF"/>
        </w:rPr>
        <w:t xml:space="preserve">Estrategia de inversión </w:t>
      </w:r>
    </w:p>
    <w:p w14:paraId="046EBF3C" w14:textId="77777777" w:rsidR="00D00B0A" w:rsidRPr="00D00B0A" w:rsidRDefault="00D00B0A" w:rsidP="00D00B0A">
      <w:pPr>
        <w:jc w:val="both"/>
        <w:rPr>
          <w:rFonts w:ascii="FS Elliot Pro" w:hAnsi="FS Elliot Pro"/>
        </w:rPr>
      </w:pPr>
      <w:r w:rsidRPr="00D00B0A">
        <w:rPr>
          <w:rFonts w:ascii="FS Elliot Pro" w:hAnsi="FS Elliot Pro"/>
        </w:rPr>
        <w:t xml:space="preserve">Estas inversiones deberán cumplir con los objetivos de la cartera de Rentas Vitalicias y Rentas Privadas, definidas en el punto 1 del Numeral 1 de la presente Política. </w:t>
      </w:r>
    </w:p>
    <w:p w14:paraId="27AB20B6" w14:textId="77777777" w:rsidR="00D00B0A" w:rsidRPr="00D00B0A" w:rsidRDefault="00D00B0A" w:rsidP="00D00B0A">
      <w:pPr>
        <w:jc w:val="both"/>
        <w:rPr>
          <w:rFonts w:ascii="FS Elliot Pro" w:hAnsi="FS Elliot Pro"/>
        </w:rPr>
      </w:pPr>
    </w:p>
    <w:p w14:paraId="6B12BDA2" w14:textId="77777777" w:rsidR="00D00B0A" w:rsidRPr="00D00B0A" w:rsidRDefault="00D00B0A" w:rsidP="00D00B0A">
      <w:pPr>
        <w:pStyle w:val="Prrafodelista"/>
        <w:numPr>
          <w:ilvl w:val="0"/>
          <w:numId w:val="6"/>
        </w:numPr>
        <w:jc w:val="both"/>
        <w:rPr>
          <w:rFonts w:ascii="FS Elliot Pro" w:hAnsi="FS Elliot Pro"/>
          <w:b/>
          <w:color w:val="2F5496" w:themeColor="accent1" w:themeShade="BF"/>
        </w:rPr>
      </w:pPr>
      <w:r w:rsidRPr="00D00B0A">
        <w:rPr>
          <w:rFonts w:ascii="FS Elliot Pro" w:hAnsi="FS Elliot Pro"/>
          <w:b/>
          <w:color w:val="2F5496" w:themeColor="accent1" w:themeShade="BF"/>
        </w:rPr>
        <w:t xml:space="preserve">Evaluación y aprobación </w:t>
      </w:r>
    </w:p>
    <w:p w14:paraId="4901CFAF" w14:textId="77777777" w:rsidR="00D00B0A" w:rsidRPr="00D00B0A" w:rsidRDefault="00D00B0A" w:rsidP="00D00B0A">
      <w:pPr>
        <w:jc w:val="both"/>
        <w:rPr>
          <w:rFonts w:ascii="FS Elliot Pro" w:hAnsi="FS Elliot Pro"/>
        </w:rPr>
      </w:pPr>
      <w:r w:rsidRPr="00D00B0A">
        <w:rPr>
          <w:rFonts w:ascii="FS Elliot Pro" w:hAnsi="FS Elliot Pro"/>
        </w:rPr>
        <w:t xml:space="preserve">Estas inversiones serán evaluadas por el equipo de riesgo y aprobadas en sesiones del comité de inversiones de la compañía. En el caso de los bienes adjudicados estos deberán provenir de la cartera de mutuos hipotecarios. </w:t>
      </w:r>
    </w:p>
    <w:p w14:paraId="658952B3" w14:textId="77777777" w:rsidR="00D00B0A" w:rsidRPr="00D00B0A" w:rsidRDefault="00D00B0A" w:rsidP="00D00B0A">
      <w:pPr>
        <w:jc w:val="both"/>
        <w:rPr>
          <w:rFonts w:ascii="FS Elliot Pro" w:hAnsi="FS Elliot Pro"/>
        </w:rPr>
      </w:pPr>
      <w:r w:rsidRPr="00D00B0A">
        <w:rPr>
          <w:rFonts w:ascii="FS Elliot Pro" w:hAnsi="FS Elliot Pro"/>
        </w:rPr>
        <w:t xml:space="preserve">Los AFR que sean de empresas emisoras de bonos o filiarles, estas inversiones se consideran en los límites internos como si fueran bonos corporativos. </w:t>
      </w:r>
    </w:p>
    <w:p w14:paraId="60368CF8" w14:textId="77777777" w:rsidR="00D00B0A" w:rsidRPr="00D00B0A" w:rsidRDefault="00D00B0A" w:rsidP="00D00B0A">
      <w:pPr>
        <w:jc w:val="both"/>
        <w:rPr>
          <w:rFonts w:ascii="FS Elliot Pro" w:hAnsi="FS Elliot Pro"/>
          <w:b/>
          <w:color w:val="2F5496" w:themeColor="accent1" w:themeShade="BF"/>
        </w:rPr>
      </w:pPr>
    </w:p>
    <w:p w14:paraId="27CAEE2C" w14:textId="77777777" w:rsidR="00D00B0A" w:rsidRPr="00D00B0A" w:rsidRDefault="00D00B0A" w:rsidP="00D00B0A">
      <w:pPr>
        <w:pStyle w:val="Prrafodelista"/>
        <w:numPr>
          <w:ilvl w:val="0"/>
          <w:numId w:val="6"/>
        </w:numPr>
        <w:jc w:val="both"/>
        <w:rPr>
          <w:rFonts w:ascii="FS Elliot Pro" w:hAnsi="FS Elliot Pro"/>
          <w:b/>
          <w:color w:val="2F5496" w:themeColor="accent1" w:themeShade="BF"/>
        </w:rPr>
      </w:pPr>
      <w:r w:rsidRPr="00D00B0A">
        <w:rPr>
          <w:rFonts w:ascii="FS Elliot Pro" w:hAnsi="FS Elliot Pro"/>
          <w:b/>
          <w:color w:val="2F5496" w:themeColor="accent1" w:themeShade="BF"/>
        </w:rPr>
        <w:t xml:space="preserve">Análisis de riesgos </w:t>
      </w:r>
    </w:p>
    <w:p w14:paraId="2F1FCCED" w14:textId="77777777" w:rsidR="00D00B0A" w:rsidRPr="00D00B0A" w:rsidRDefault="00D00B0A" w:rsidP="00D00B0A">
      <w:pPr>
        <w:jc w:val="both"/>
        <w:rPr>
          <w:rFonts w:ascii="FS Elliot Pro" w:hAnsi="FS Elliot Pro"/>
        </w:rPr>
      </w:pPr>
      <w:r w:rsidRPr="00D00B0A">
        <w:rPr>
          <w:rFonts w:ascii="FS Elliot Pro" w:hAnsi="FS Elliot Pro"/>
        </w:rPr>
        <w:t xml:space="preserve">El análisis de riesgo deberá considerar los riesgos señalados en el punto 5 Numeral 1 de la presente Política, los que deberán ser expuestos al comité de inversiones al momento de su aprobación. </w:t>
      </w:r>
    </w:p>
    <w:p w14:paraId="720569C0" w14:textId="77777777" w:rsidR="00D00B0A" w:rsidRDefault="00D00B0A" w:rsidP="00D00B0A">
      <w:pPr>
        <w:jc w:val="both"/>
        <w:rPr>
          <w:rFonts w:ascii="FS Elliot Pro" w:hAnsi="FS Elliot Pro"/>
        </w:rPr>
      </w:pPr>
    </w:p>
    <w:p w14:paraId="54B6D9CB" w14:textId="77777777" w:rsidR="00D00B0A" w:rsidRPr="00D00B0A" w:rsidRDefault="00D00B0A" w:rsidP="00D00B0A">
      <w:pPr>
        <w:pStyle w:val="Prrafodelista"/>
        <w:numPr>
          <w:ilvl w:val="0"/>
          <w:numId w:val="6"/>
        </w:numPr>
        <w:jc w:val="both"/>
        <w:rPr>
          <w:rFonts w:ascii="FS Elliot Pro" w:hAnsi="FS Elliot Pro"/>
          <w:b/>
          <w:color w:val="2F5496" w:themeColor="accent1" w:themeShade="BF"/>
        </w:rPr>
      </w:pPr>
      <w:r w:rsidRPr="00D00B0A">
        <w:rPr>
          <w:rFonts w:ascii="FS Elliot Pro" w:hAnsi="FS Elliot Pro"/>
          <w:b/>
          <w:color w:val="2F5496" w:themeColor="accent1" w:themeShade="BF"/>
        </w:rPr>
        <w:t xml:space="preserve">Límites para el uso de otras inversiones. </w:t>
      </w:r>
    </w:p>
    <w:p w14:paraId="05CE2215" w14:textId="77777777" w:rsidR="00D00B0A" w:rsidRPr="00D00B0A" w:rsidRDefault="00D00B0A" w:rsidP="00D00B0A">
      <w:pPr>
        <w:jc w:val="both"/>
        <w:rPr>
          <w:rFonts w:ascii="FS Elliot Pro" w:hAnsi="FS Elliot Pro"/>
        </w:rPr>
      </w:pPr>
      <w:r w:rsidRPr="00D00B0A">
        <w:rPr>
          <w:rFonts w:ascii="FS Elliot Pro" w:hAnsi="FS Elliot Pro"/>
        </w:rPr>
        <w:t xml:space="preserve">Respecto al uso de otras inversiones los límites serán aquellos establecidos en la NCG 152 para aquellos activos clasificados en esta categoría. </w:t>
      </w:r>
    </w:p>
    <w:p w14:paraId="4FFE313B" w14:textId="77777777" w:rsidR="00D00B0A" w:rsidRPr="00D00B0A" w:rsidRDefault="00D00B0A" w:rsidP="00D00B0A">
      <w:pPr>
        <w:jc w:val="both"/>
        <w:rPr>
          <w:rFonts w:ascii="FS Elliot Pro" w:hAnsi="FS Elliot Pro"/>
        </w:rPr>
      </w:pPr>
      <w:r w:rsidRPr="00D00B0A">
        <w:rPr>
          <w:rFonts w:ascii="FS Elliot Pro" w:hAnsi="FS Elliot Pro"/>
        </w:rPr>
        <w:t xml:space="preserve">Todas las inversiones a que se refiere esta política deberán ajustarse a los límites señalados en el numeral 1 de la presente Política. </w:t>
      </w:r>
    </w:p>
    <w:p w14:paraId="65B387B6" w14:textId="77777777" w:rsidR="00D00B0A" w:rsidRPr="00D00B0A" w:rsidRDefault="00D00B0A" w:rsidP="00D00B0A">
      <w:pPr>
        <w:jc w:val="both"/>
        <w:rPr>
          <w:rFonts w:ascii="FS Elliot Pro" w:hAnsi="FS Elliot Pro"/>
        </w:rPr>
      </w:pPr>
    </w:p>
    <w:p w14:paraId="336A44CF" w14:textId="77777777" w:rsidR="00D00B0A" w:rsidRPr="00D00B0A" w:rsidRDefault="00D00B0A" w:rsidP="00D00B0A">
      <w:pPr>
        <w:pStyle w:val="Prrafodelista"/>
        <w:numPr>
          <w:ilvl w:val="0"/>
          <w:numId w:val="6"/>
        </w:numPr>
        <w:jc w:val="both"/>
        <w:rPr>
          <w:rFonts w:ascii="FS Elliot Pro" w:hAnsi="FS Elliot Pro"/>
          <w:b/>
          <w:color w:val="2F5496" w:themeColor="accent1" w:themeShade="BF"/>
        </w:rPr>
      </w:pPr>
      <w:r w:rsidRPr="00D00B0A">
        <w:rPr>
          <w:rFonts w:ascii="FS Elliot Pro" w:hAnsi="FS Elliot Pro"/>
          <w:b/>
          <w:color w:val="2F5496" w:themeColor="accent1" w:themeShade="BF"/>
        </w:rPr>
        <w:t xml:space="preserve">Revisión anual </w:t>
      </w:r>
    </w:p>
    <w:p w14:paraId="0EDE7E10" w14:textId="77777777" w:rsidR="00D00B0A" w:rsidRPr="00D00B0A" w:rsidRDefault="00D00B0A" w:rsidP="00D00B0A">
      <w:pPr>
        <w:jc w:val="both"/>
        <w:rPr>
          <w:rFonts w:ascii="FS Elliot Pro" w:hAnsi="FS Elliot Pro"/>
        </w:rPr>
      </w:pPr>
      <w:r w:rsidRPr="00D00B0A">
        <w:rPr>
          <w:rFonts w:ascii="FS Elliot Pro" w:hAnsi="FS Elliot Pro"/>
        </w:rPr>
        <w:t xml:space="preserve">Esta Política de Otras Inversiones será revisada al menos una vez al año para asegurarse de que este documento mantiene su vigencia, y será revisada por el Comité de Inversiones de Principal Vida y ratificada por el Directorio de Principal Vida Chile. </w:t>
      </w:r>
    </w:p>
    <w:p w14:paraId="0896DC85" w14:textId="77777777" w:rsidR="00D00B0A" w:rsidRPr="00D00B0A" w:rsidRDefault="00D00B0A" w:rsidP="00D00B0A">
      <w:pPr>
        <w:jc w:val="both"/>
        <w:rPr>
          <w:rFonts w:ascii="FS Elliot Pro" w:hAnsi="FS Elliot Pro"/>
        </w:rPr>
      </w:pPr>
    </w:p>
    <w:p w14:paraId="1E969058" w14:textId="77777777" w:rsidR="00D00B0A" w:rsidRPr="00D00B0A" w:rsidRDefault="00D00B0A" w:rsidP="00D00B0A">
      <w:pPr>
        <w:pStyle w:val="Prrafodelista"/>
        <w:numPr>
          <w:ilvl w:val="0"/>
          <w:numId w:val="6"/>
        </w:numPr>
        <w:jc w:val="both"/>
        <w:rPr>
          <w:rFonts w:ascii="FS Elliot Pro" w:hAnsi="FS Elliot Pro"/>
          <w:b/>
          <w:color w:val="2F5496" w:themeColor="accent1" w:themeShade="BF"/>
        </w:rPr>
      </w:pPr>
      <w:r w:rsidRPr="00D00B0A">
        <w:rPr>
          <w:rFonts w:ascii="FS Elliot Pro" w:hAnsi="FS Elliot Pro"/>
          <w:b/>
          <w:color w:val="2F5496" w:themeColor="accent1" w:themeShade="BF"/>
        </w:rPr>
        <w:t xml:space="preserve">Responsabilidades de Control </w:t>
      </w:r>
    </w:p>
    <w:p w14:paraId="112C3206" w14:textId="77777777" w:rsidR="00092A74" w:rsidRDefault="00D00B0A" w:rsidP="00D00B0A">
      <w:pPr>
        <w:jc w:val="both"/>
        <w:rPr>
          <w:rFonts w:ascii="FS Elliot Pro" w:hAnsi="FS Elliot Pro"/>
        </w:rPr>
      </w:pPr>
      <w:r w:rsidRPr="00D00B0A">
        <w:rPr>
          <w:rFonts w:ascii="FS Elliot Pro" w:hAnsi="FS Elliot Pro"/>
        </w:rPr>
        <w:t>Toda inversión en los instrumentos cubiertos por esta política deberá ser revisada por el área de Control de Inversiones para asegurar que cumpla con todas las normas aquí establecidas.</w:t>
      </w:r>
    </w:p>
    <w:p w14:paraId="6787D08A" w14:textId="77777777" w:rsidR="002526CE" w:rsidRDefault="002526CE" w:rsidP="001F1CF3">
      <w:pPr>
        <w:jc w:val="both"/>
        <w:rPr>
          <w:rFonts w:ascii="FS Elliot Pro" w:hAnsi="FS Elliot Pro"/>
        </w:rPr>
      </w:pPr>
    </w:p>
    <w:p w14:paraId="60583F75" w14:textId="77777777" w:rsidR="001F1CF3" w:rsidRDefault="001F1CF3" w:rsidP="001F1CF3">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d. Responsables</w:t>
      </w:r>
    </w:p>
    <w:bookmarkEnd w:id="5"/>
    <w:p w14:paraId="348758FA" w14:textId="77777777" w:rsidR="001F1CF3" w:rsidRDefault="00D00B0A" w:rsidP="001F1CF3">
      <w:pPr>
        <w:jc w:val="both"/>
        <w:rPr>
          <w:rFonts w:ascii="FS Elliot Pro" w:hAnsi="FS Elliot Pro"/>
        </w:rPr>
      </w:pPr>
      <w:r w:rsidRPr="00D00B0A">
        <w:rPr>
          <w:rFonts w:ascii="FS Elliot Pro" w:hAnsi="FS Elliot Pro"/>
        </w:rPr>
        <w:t>El Gerente de Inversiones de PVCH, será el encargado de velar por la difusión y aplicación general de la presente Política.</w:t>
      </w:r>
    </w:p>
    <w:p w14:paraId="42F45652" w14:textId="77777777" w:rsidR="001F1CF3" w:rsidRDefault="001F1CF3" w:rsidP="001F1CF3">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e. Vigencia</w:t>
      </w:r>
    </w:p>
    <w:p w14:paraId="32A06B72" w14:textId="4E50431B" w:rsidR="00AE01CC" w:rsidRDefault="00AE01CC" w:rsidP="00AE01CC">
      <w:pPr>
        <w:jc w:val="both"/>
        <w:rPr>
          <w:rFonts w:ascii="FS Elliot Pro" w:hAnsi="FS Elliot Pro"/>
        </w:rPr>
      </w:pPr>
      <w:r w:rsidRPr="009A7741">
        <w:rPr>
          <w:rFonts w:ascii="FS Elliot Pro" w:hAnsi="FS Elliot Pro"/>
        </w:rPr>
        <w:t xml:space="preserve">Aprobado en sesión extraordinaria de Directorio de fecha </w:t>
      </w:r>
      <w:r w:rsidR="003940D8">
        <w:rPr>
          <w:rFonts w:ascii="FS Elliot Pro" w:hAnsi="FS Elliot Pro"/>
        </w:rPr>
        <w:t>27</w:t>
      </w:r>
      <w:r w:rsidR="00D00B0A" w:rsidRPr="009A7741">
        <w:rPr>
          <w:rFonts w:ascii="FS Elliot Pro" w:hAnsi="FS Elliot Pro"/>
        </w:rPr>
        <w:t xml:space="preserve"> de </w:t>
      </w:r>
      <w:r w:rsidR="003940D8">
        <w:rPr>
          <w:rFonts w:ascii="FS Elliot Pro" w:hAnsi="FS Elliot Pro"/>
        </w:rPr>
        <w:t>mayo</w:t>
      </w:r>
      <w:r w:rsidR="00D00B0A" w:rsidRPr="009A7741">
        <w:rPr>
          <w:rFonts w:ascii="FS Elliot Pro" w:hAnsi="FS Elliot Pro"/>
        </w:rPr>
        <w:t xml:space="preserve"> de 20</w:t>
      </w:r>
      <w:r w:rsidR="009A7741" w:rsidRPr="009A7741">
        <w:rPr>
          <w:rFonts w:ascii="FS Elliot Pro" w:hAnsi="FS Elliot Pro"/>
        </w:rPr>
        <w:t>2</w:t>
      </w:r>
      <w:r w:rsidR="003940D8">
        <w:rPr>
          <w:rFonts w:ascii="FS Elliot Pro" w:hAnsi="FS Elliot Pro"/>
        </w:rPr>
        <w:t>1</w:t>
      </w:r>
      <w:r w:rsidR="00D00B0A" w:rsidRPr="009A7741">
        <w:rPr>
          <w:rFonts w:ascii="FS Elliot Pro" w:hAnsi="FS Elliot Pro"/>
        </w:rPr>
        <w:t>.</w:t>
      </w:r>
    </w:p>
    <w:p w14:paraId="4F46BE38" w14:textId="77777777" w:rsidR="001F1CF3" w:rsidRDefault="001F1CF3" w:rsidP="001F1CF3">
      <w:pPr>
        <w:jc w:val="both"/>
        <w:rPr>
          <w:rFonts w:ascii="FS Elliot Pro" w:hAnsi="FS Elliot Pro"/>
          <w:b/>
          <w:color w:val="2F5496" w:themeColor="accent1" w:themeShade="BF"/>
          <w:sz w:val="28"/>
          <w:szCs w:val="28"/>
        </w:rPr>
      </w:pPr>
    </w:p>
    <w:p w14:paraId="67FC40F5" w14:textId="77777777" w:rsidR="001F1CF3" w:rsidRDefault="001F1CF3" w:rsidP="001F1CF3">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f. Versiones</w:t>
      </w:r>
    </w:p>
    <w:tbl>
      <w:tblPr>
        <w:tblStyle w:val="Tablaconcuadrcula"/>
        <w:tblW w:w="0" w:type="auto"/>
        <w:tblLook w:val="04A0" w:firstRow="1" w:lastRow="0" w:firstColumn="1" w:lastColumn="0" w:noHBand="0" w:noVBand="1"/>
      </w:tblPr>
      <w:tblGrid>
        <w:gridCol w:w="1129"/>
        <w:gridCol w:w="2835"/>
        <w:gridCol w:w="4864"/>
      </w:tblGrid>
      <w:tr w:rsidR="001F1CF3" w14:paraId="6D12B546" w14:textId="77777777" w:rsidTr="00646AC8">
        <w:trPr>
          <w:trHeight w:val="210"/>
        </w:trPr>
        <w:tc>
          <w:tcPr>
            <w:tcW w:w="1129" w:type="dxa"/>
            <w:shd w:val="clear" w:color="auto" w:fill="2F5496" w:themeFill="accent1" w:themeFillShade="BF"/>
          </w:tcPr>
          <w:p w14:paraId="5354F64E" w14:textId="77777777" w:rsidR="001F1CF3" w:rsidRPr="001F1CF3" w:rsidRDefault="001F1CF3" w:rsidP="001F1CF3">
            <w:pPr>
              <w:rPr>
                <w:rFonts w:ascii="FS Elliot Pro" w:hAnsi="FS Elliot Pro"/>
                <w:b/>
                <w:color w:val="FFFFFF" w:themeColor="background1"/>
              </w:rPr>
            </w:pPr>
            <w:bookmarkStart w:id="6" w:name="_Hlk13656263"/>
            <w:r w:rsidRPr="001F1CF3">
              <w:rPr>
                <w:rFonts w:ascii="FS Elliot Pro" w:hAnsi="FS Elliot Pro"/>
                <w:b/>
                <w:color w:val="FFFFFF" w:themeColor="background1"/>
              </w:rPr>
              <w:t>Versión</w:t>
            </w:r>
          </w:p>
        </w:tc>
        <w:tc>
          <w:tcPr>
            <w:tcW w:w="2835" w:type="dxa"/>
            <w:shd w:val="clear" w:color="auto" w:fill="2F5496" w:themeFill="accent1" w:themeFillShade="BF"/>
          </w:tcPr>
          <w:p w14:paraId="7D79FF79" w14:textId="77777777" w:rsidR="001F1CF3" w:rsidRPr="001F1CF3" w:rsidRDefault="001F1CF3" w:rsidP="001F1CF3">
            <w:pPr>
              <w:rPr>
                <w:rFonts w:ascii="FS Elliot Pro" w:hAnsi="FS Elliot Pro"/>
                <w:b/>
                <w:color w:val="FFFFFF" w:themeColor="background1"/>
              </w:rPr>
            </w:pPr>
            <w:r w:rsidRPr="001F1CF3">
              <w:rPr>
                <w:rFonts w:ascii="FS Elliot Pro" w:hAnsi="FS Elliot Pro"/>
                <w:b/>
                <w:color w:val="FFFFFF" w:themeColor="background1"/>
              </w:rPr>
              <w:t>Fecha Actualización</w:t>
            </w:r>
          </w:p>
        </w:tc>
        <w:tc>
          <w:tcPr>
            <w:tcW w:w="4864" w:type="dxa"/>
            <w:shd w:val="clear" w:color="auto" w:fill="2F5496" w:themeFill="accent1" w:themeFillShade="BF"/>
          </w:tcPr>
          <w:p w14:paraId="4C4ACFCC" w14:textId="77777777" w:rsidR="001F1CF3" w:rsidRPr="001F1CF3" w:rsidRDefault="001F1CF3" w:rsidP="001F1CF3">
            <w:pPr>
              <w:rPr>
                <w:rFonts w:ascii="FS Elliot Pro" w:hAnsi="FS Elliot Pro"/>
                <w:b/>
                <w:color w:val="FFFFFF" w:themeColor="background1"/>
              </w:rPr>
            </w:pPr>
            <w:r w:rsidRPr="001F1CF3">
              <w:rPr>
                <w:rFonts w:ascii="FS Elliot Pro" w:hAnsi="FS Elliot Pro"/>
                <w:b/>
                <w:color w:val="FFFFFF" w:themeColor="background1"/>
              </w:rPr>
              <w:t>Modificaciones</w:t>
            </w:r>
          </w:p>
        </w:tc>
      </w:tr>
      <w:tr w:rsidR="001F1CF3" w14:paraId="0196A321" w14:textId="77777777" w:rsidTr="00646AC8">
        <w:tc>
          <w:tcPr>
            <w:tcW w:w="1129" w:type="dxa"/>
          </w:tcPr>
          <w:p w14:paraId="01C13B6A" w14:textId="77777777" w:rsidR="001F1CF3" w:rsidRPr="00646AC8" w:rsidRDefault="00D00B0A" w:rsidP="001F1CF3">
            <w:pPr>
              <w:jc w:val="both"/>
              <w:rPr>
                <w:rFonts w:ascii="FS Elliot Pro" w:hAnsi="FS Elliot Pro"/>
              </w:rPr>
            </w:pPr>
            <w:r>
              <w:rPr>
                <w:rFonts w:ascii="FS Elliot Pro" w:hAnsi="FS Elliot Pro"/>
              </w:rPr>
              <w:t>1</w:t>
            </w:r>
          </w:p>
        </w:tc>
        <w:tc>
          <w:tcPr>
            <w:tcW w:w="2835" w:type="dxa"/>
          </w:tcPr>
          <w:p w14:paraId="6D110415" w14:textId="77777777" w:rsidR="001F1CF3" w:rsidRPr="00646AC8" w:rsidRDefault="00D00B0A" w:rsidP="001F1CF3">
            <w:pPr>
              <w:jc w:val="both"/>
              <w:rPr>
                <w:rFonts w:ascii="FS Elliot Pro" w:hAnsi="FS Elliot Pro"/>
              </w:rPr>
            </w:pPr>
            <w:r>
              <w:rPr>
                <w:rFonts w:ascii="FS Elliot Pro" w:hAnsi="FS Elliot Pro"/>
              </w:rPr>
              <w:t>14-10-2019</w:t>
            </w:r>
          </w:p>
        </w:tc>
        <w:tc>
          <w:tcPr>
            <w:tcW w:w="4864" w:type="dxa"/>
          </w:tcPr>
          <w:p w14:paraId="40D68AC6" w14:textId="77777777" w:rsidR="001F1CF3" w:rsidRPr="00646AC8" w:rsidRDefault="00D00B0A" w:rsidP="001F1CF3">
            <w:pPr>
              <w:jc w:val="both"/>
              <w:rPr>
                <w:rFonts w:ascii="FS Elliot Pro" w:hAnsi="FS Elliot Pro"/>
              </w:rPr>
            </w:pPr>
            <w:r>
              <w:rPr>
                <w:rFonts w:ascii="FS Elliot Pro" w:hAnsi="FS Elliot Pro"/>
              </w:rPr>
              <w:t>Cambio formato</w:t>
            </w:r>
          </w:p>
        </w:tc>
      </w:tr>
      <w:tr w:rsidR="001F1CF3" w14:paraId="43B89CCD" w14:textId="77777777" w:rsidTr="00646AC8">
        <w:tc>
          <w:tcPr>
            <w:tcW w:w="1129" w:type="dxa"/>
          </w:tcPr>
          <w:p w14:paraId="0AFCCA43" w14:textId="6951FE07" w:rsidR="001F1CF3" w:rsidRPr="00646AC8" w:rsidRDefault="00761331" w:rsidP="001F1CF3">
            <w:pPr>
              <w:jc w:val="both"/>
              <w:rPr>
                <w:rFonts w:ascii="FS Elliot Pro" w:hAnsi="FS Elliot Pro"/>
              </w:rPr>
            </w:pPr>
            <w:r>
              <w:rPr>
                <w:rFonts w:ascii="FS Elliot Pro" w:hAnsi="FS Elliot Pro"/>
              </w:rPr>
              <w:t>2</w:t>
            </w:r>
          </w:p>
        </w:tc>
        <w:tc>
          <w:tcPr>
            <w:tcW w:w="2835" w:type="dxa"/>
          </w:tcPr>
          <w:p w14:paraId="1EE81255" w14:textId="0B7A2E61" w:rsidR="001F1CF3" w:rsidRPr="00646AC8" w:rsidRDefault="00761331" w:rsidP="001F1CF3">
            <w:pPr>
              <w:jc w:val="both"/>
              <w:rPr>
                <w:rFonts w:ascii="FS Elliot Pro" w:hAnsi="FS Elliot Pro"/>
              </w:rPr>
            </w:pPr>
            <w:r>
              <w:rPr>
                <w:rFonts w:ascii="FS Elliot Pro" w:hAnsi="FS Elliot Pro"/>
              </w:rPr>
              <w:t>15-10-2019</w:t>
            </w:r>
          </w:p>
        </w:tc>
        <w:tc>
          <w:tcPr>
            <w:tcW w:w="4864" w:type="dxa"/>
          </w:tcPr>
          <w:p w14:paraId="48140961" w14:textId="5DC970BB" w:rsidR="001F1CF3" w:rsidRPr="00646AC8" w:rsidRDefault="00761331" w:rsidP="001F1CF3">
            <w:pPr>
              <w:jc w:val="both"/>
              <w:rPr>
                <w:rFonts w:ascii="FS Elliot Pro" w:hAnsi="FS Elliot Pro"/>
              </w:rPr>
            </w:pPr>
            <w:r>
              <w:rPr>
                <w:rFonts w:ascii="FS Elliot Pro" w:hAnsi="FS Elliot Pro"/>
              </w:rPr>
              <w:t>Cambio de instrumentos considerados en la política</w:t>
            </w:r>
          </w:p>
        </w:tc>
      </w:tr>
      <w:tr w:rsidR="001F1CF3" w14:paraId="7E4D1E17" w14:textId="77777777" w:rsidTr="00646AC8">
        <w:tc>
          <w:tcPr>
            <w:tcW w:w="1129" w:type="dxa"/>
          </w:tcPr>
          <w:p w14:paraId="1C643C71" w14:textId="20B8E7E3" w:rsidR="001F1CF3" w:rsidRPr="00646AC8" w:rsidRDefault="009B5E17" w:rsidP="001F1CF3">
            <w:pPr>
              <w:jc w:val="both"/>
              <w:rPr>
                <w:rFonts w:ascii="FS Elliot Pro" w:hAnsi="FS Elliot Pro"/>
              </w:rPr>
            </w:pPr>
            <w:r>
              <w:rPr>
                <w:rFonts w:ascii="FS Elliot Pro" w:hAnsi="FS Elliot Pro"/>
              </w:rPr>
              <w:t>3</w:t>
            </w:r>
          </w:p>
        </w:tc>
        <w:tc>
          <w:tcPr>
            <w:tcW w:w="2835" w:type="dxa"/>
          </w:tcPr>
          <w:p w14:paraId="4C6F77F8" w14:textId="6EC753F1" w:rsidR="001F1CF3" w:rsidRPr="00646AC8" w:rsidRDefault="009B5E17" w:rsidP="001F1CF3">
            <w:pPr>
              <w:jc w:val="both"/>
              <w:rPr>
                <w:rFonts w:ascii="FS Elliot Pro" w:hAnsi="FS Elliot Pro"/>
              </w:rPr>
            </w:pPr>
            <w:r>
              <w:rPr>
                <w:rFonts w:ascii="FS Elliot Pro" w:hAnsi="FS Elliot Pro"/>
              </w:rPr>
              <w:t>18-12-2019</w:t>
            </w:r>
          </w:p>
        </w:tc>
        <w:tc>
          <w:tcPr>
            <w:tcW w:w="4864" w:type="dxa"/>
          </w:tcPr>
          <w:p w14:paraId="6B5A326B" w14:textId="60D3D39F" w:rsidR="001F1CF3" w:rsidRPr="00646AC8" w:rsidRDefault="009B5E17" w:rsidP="001F1CF3">
            <w:pPr>
              <w:jc w:val="both"/>
              <w:rPr>
                <w:rFonts w:ascii="FS Elliot Pro" w:hAnsi="FS Elliot Pro"/>
              </w:rPr>
            </w:pPr>
            <w:r>
              <w:rPr>
                <w:rFonts w:ascii="FS Elliot Pro" w:hAnsi="FS Elliot Pro"/>
              </w:rPr>
              <w:t>Cambio de Banco Scotiabank de categoría chica a intermedia.</w:t>
            </w:r>
          </w:p>
        </w:tc>
      </w:tr>
      <w:tr w:rsidR="009A7741" w14:paraId="15AD2112" w14:textId="77777777" w:rsidTr="00646AC8">
        <w:tc>
          <w:tcPr>
            <w:tcW w:w="1129" w:type="dxa"/>
          </w:tcPr>
          <w:p w14:paraId="5DF598D3" w14:textId="2DDA6231" w:rsidR="009A7741" w:rsidRDefault="009A7741" w:rsidP="001F1CF3">
            <w:pPr>
              <w:jc w:val="both"/>
              <w:rPr>
                <w:rFonts w:ascii="FS Elliot Pro" w:hAnsi="FS Elliot Pro"/>
              </w:rPr>
            </w:pPr>
            <w:r>
              <w:rPr>
                <w:rFonts w:ascii="FS Elliot Pro" w:hAnsi="FS Elliot Pro"/>
              </w:rPr>
              <w:t>4</w:t>
            </w:r>
          </w:p>
        </w:tc>
        <w:tc>
          <w:tcPr>
            <w:tcW w:w="2835" w:type="dxa"/>
          </w:tcPr>
          <w:p w14:paraId="31F4C9AB" w14:textId="4FD36B1C" w:rsidR="009A7741" w:rsidRDefault="00BC105D" w:rsidP="001F1CF3">
            <w:pPr>
              <w:jc w:val="both"/>
              <w:rPr>
                <w:rFonts w:ascii="FS Elliot Pro" w:hAnsi="FS Elliot Pro"/>
              </w:rPr>
            </w:pPr>
            <w:r>
              <w:rPr>
                <w:rFonts w:ascii="FS Elliot Pro" w:hAnsi="FS Elliot Pro"/>
              </w:rPr>
              <w:t>2</w:t>
            </w:r>
            <w:r w:rsidR="009A7741">
              <w:rPr>
                <w:rFonts w:ascii="FS Elliot Pro" w:hAnsi="FS Elliot Pro"/>
              </w:rPr>
              <w:t>8-1</w:t>
            </w:r>
            <w:r>
              <w:rPr>
                <w:rFonts w:ascii="FS Elliot Pro" w:hAnsi="FS Elliot Pro"/>
              </w:rPr>
              <w:t>0</w:t>
            </w:r>
            <w:r w:rsidR="009A7741">
              <w:rPr>
                <w:rFonts w:ascii="FS Elliot Pro" w:hAnsi="FS Elliot Pro"/>
              </w:rPr>
              <w:t>-2020</w:t>
            </w:r>
          </w:p>
        </w:tc>
        <w:tc>
          <w:tcPr>
            <w:tcW w:w="4864" w:type="dxa"/>
          </w:tcPr>
          <w:p w14:paraId="16E977FF" w14:textId="7139E72E" w:rsidR="009A7741" w:rsidRDefault="001F4A9C" w:rsidP="001F1CF3">
            <w:pPr>
              <w:jc w:val="both"/>
              <w:rPr>
                <w:rFonts w:ascii="FS Elliot Pro" w:hAnsi="FS Elliot Pro"/>
              </w:rPr>
            </w:pPr>
            <w:r>
              <w:rPr>
                <w:rFonts w:ascii="FS Elliot Pro" w:hAnsi="FS Elliot Pro"/>
              </w:rPr>
              <w:t>Explicit</w:t>
            </w:r>
            <w:r w:rsidR="00CC541D">
              <w:rPr>
                <w:rFonts w:ascii="FS Elliot Pro" w:hAnsi="FS Elliot Pro"/>
              </w:rPr>
              <w:t>a mecanismo para medir exposición a los fondos de inversión.</w:t>
            </w:r>
          </w:p>
        </w:tc>
      </w:tr>
      <w:tr w:rsidR="003C4612" w14:paraId="30D55E90" w14:textId="77777777" w:rsidTr="00646AC8">
        <w:tc>
          <w:tcPr>
            <w:tcW w:w="1129" w:type="dxa"/>
          </w:tcPr>
          <w:p w14:paraId="1A8E3252" w14:textId="049998A7" w:rsidR="003C4612" w:rsidRDefault="003C4612" w:rsidP="001F1CF3">
            <w:pPr>
              <w:jc w:val="both"/>
              <w:rPr>
                <w:rFonts w:ascii="FS Elliot Pro" w:hAnsi="FS Elliot Pro"/>
              </w:rPr>
            </w:pPr>
            <w:r>
              <w:rPr>
                <w:rFonts w:ascii="FS Elliot Pro" w:hAnsi="FS Elliot Pro"/>
              </w:rPr>
              <w:t>5</w:t>
            </w:r>
          </w:p>
        </w:tc>
        <w:tc>
          <w:tcPr>
            <w:tcW w:w="2835" w:type="dxa"/>
          </w:tcPr>
          <w:p w14:paraId="5C2D2A7C" w14:textId="60B6C1F6" w:rsidR="003C4612" w:rsidRDefault="003C4612" w:rsidP="001F1CF3">
            <w:pPr>
              <w:jc w:val="both"/>
              <w:rPr>
                <w:rFonts w:ascii="FS Elliot Pro" w:hAnsi="FS Elliot Pro"/>
              </w:rPr>
            </w:pPr>
            <w:r>
              <w:rPr>
                <w:rFonts w:ascii="FS Elliot Pro" w:hAnsi="FS Elliot Pro"/>
              </w:rPr>
              <w:t>23-03-2021</w:t>
            </w:r>
          </w:p>
        </w:tc>
        <w:tc>
          <w:tcPr>
            <w:tcW w:w="4864" w:type="dxa"/>
          </w:tcPr>
          <w:p w14:paraId="1FF4A023" w14:textId="77777777" w:rsidR="003C4612" w:rsidRDefault="003C4612" w:rsidP="001F1CF3">
            <w:pPr>
              <w:jc w:val="both"/>
              <w:rPr>
                <w:rFonts w:ascii="FS Elliot Pro" w:hAnsi="FS Elliot Pro"/>
              </w:rPr>
            </w:pPr>
            <w:r>
              <w:rPr>
                <w:rFonts w:ascii="FS Elliot Pro" w:hAnsi="FS Elliot Pro"/>
              </w:rPr>
              <w:t xml:space="preserve">Se </w:t>
            </w:r>
            <w:r w:rsidR="00EC2CDE">
              <w:rPr>
                <w:rFonts w:ascii="FS Elliot Pro" w:hAnsi="FS Elliot Pro"/>
              </w:rPr>
              <w:t xml:space="preserve">modifican límites de inversión por clase de activo y mecanismo de medición de exposición a fondos de inversión. </w:t>
            </w:r>
          </w:p>
          <w:p w14:paraId="4BC3C7D0" w14:textId="30B4FFBC" w:rsidR="007106C6" w:rsidRDefault="007106C6" w:rsidP="001F1CF3">
            <w:pPr>
              <w:jc w:val="both"/>
              <w:rPr>
                <w:rFonts w:ascii="FS Elliot Pro" w:hAnsi="FS Elliot Pro"/>
              </w:rPr>
            </w:pPr>
          </w:p>
        </w:tc>
      </w:tr>
      <w:bookmarkEnd w:id="6"/>
    </w:tbl>
    <w:p w14:paraId="6F8855DC" w14:textId="77777777" w:rsidR="001F1CF3" w:rsidRPr="001B3E1F" w:rsidRDefault="001F1CF3" w:rsidP="001F1CF3">
      <w:pPr>
        <w:jc w:val="both"/>
        <w:rPr>
          <w:rFonts w:ascii="FS Elliot Pro" w:hAnsi="FS Elliot Pro"/>
          <w:b/>
          <w:color w:val="2F5496" w:themeColor="accent1" w:themeShade="BF"/>
          <w:sz w:val="24"/>
          <w:szCs w:val="28"/>
        </w:rPr>
      </w:pPr>
    </w:p>
    <w:p w14:paraId="5C52BC5A" w14:textId="77777777" w:rsidR="001F1CF3" w:rsidRPr="001F1CF3" w:rsidRDefault="001F1CF3" w:rsidP="001F1CF3">
      <w:pPr>
        <w:jc w:val="both"/>
        <w:rPr>
          <w:rFonts w:ascii="FS Elliot Pro" w:hAnsi="FS Elliot Pro"/>
          <w:b/>
          <w:color w:val="2F5496" w:themeColor="accent1" w:themeShade="BF"/>
          <w:sz w:val="28"/>
          <w:szCs w:val="28"/>
        </w:rPr>
      </w:pPr>
      <w:r>
        <w:rPr>
          <w:rFonts w:ascii="FS Elliot Pro" w:hAnsi="FS Elliot Pro"/>
          <w:b/>
          <w:color w:val="2F5496" w:themeColor="accent1" w:themeShade="BF"/>
          <w:sz w:val="28"/>
          <w:szCs w:val="28"/>
        </w:rPr>
        <w:t>g. Control de Cambios</w:t>
      </w:r>
    </w:p>
    <w:tbl>
      <w:tblPr>
        <w:tblStyle w:val="Tablaconcuadrcula"/>
        <w:tblW w:w="8832" w:type="dxa"/>
        <w:tblLook w:val="04A0" w:firstRow="1" w:lastRow="0" w:firstColumn="1" w:lastColumn="0" w:noHBand="0" w:noVBand="1"/>
      </w:tblPr>
      <w:tblGrid>
        <w:gridCol w:w="2263"/>
        <w:gridCol w:w="6569"/>
      </w:tblGrid>
      <w:tr w:rsidR="001F1CF3" w14:paraId="4E9A9567" w14:textId="77777777" w:rsidTr="002851E1">
        <w:trPr>
          <w:trHeight w:val="300"/>
        </w:trPr>
        <w:tc>
          <w:tcPr>
            <w:tcW w:w="2263" w:type="dxa"/>
            <w:shd w:val="clear" w:color="auto" w:fill="2F5496" w:themeFill="accent1" w:themeFillShade="BF"/>
          </w:tcPr>
          <w:p w14:paraId="6D10A408" w14:textId="77777777" w:rsidR="001F1CF3" w:rsidRPr="001B3E1F" w:rsidRDefault="001F1CF3" w:rsidP="001B3E1F">
            <w:pPr>
              <w:rPr>
                <w:rFonts w:ascii="FS Elliot Pro" w:hAnsi="FS Elliot Pro"/>
                <w:b/>
                <w:color w:val="FFFFFF" w:themeColor="background1"/>
              </w:rPr>
            </w:pPr>
            <w:bookmarkStart w:id="7" w:name="_Hlk13656283"/>
            <w:r w:rsidRPr="001B3E1F">
              <w:rPr>
                <w:rFonts w:ascii="FS Elliot Pro" w:hAnsi="FS Elliot Pro"/>
                <w:b/>
                <w:color w:val="FFFFFF" w:themeColor="background1"/>
              </w:rPr>
              <w:t>Elaborado por</w:t>
            </w:r>
          </w:p>
        </w:tc>
        <w:tc>
          <w:tcPr>
            <w:tcW w:w="6569" w:type="dxa"/>
          </w:tcPr>
          <w:p w14:paraId="3271B0DB" w14:textId="77777777" w:rsidR="001F1CF3" w:rsidRPr="001B3E1F" w:rsidRDefault="00163B9A" w:rsidP="001F1CF3">
            <w:pPr>
              <w:jc w:val="both"/>
              <w:rPr>
                <w:rFonts w:ascii="FS Elliot Pro" w:hAnsi="FS Elliot Pro"/>
              </w:rPr>
            </w:pPr>
            <w:r>
              <w:rPr>
                <w:rFonts w:ascii="FS Elliot Pro" w:hAnsi="FS Elliot Pro"/>
              </w:rPr>
              <w:t xml:space="preserve">Catalina Piderit </w:t>
            </w:r>
          </w:p>
        </w:tc>
      </w:tr>
      <w:tr w:rsidR="001F1CF3" w14:paraId="1E8FE974" w14:textId="77777777" w:rsidTr="002851E1">
        <w:trPr>
          <w:trHeight w:val="300"/>
        </w:trPr>
        <w:tc>
          <w:tcPr>
            <w:tcW w:w="2263" w:type="dxa"/>
            <w:shd w:val="clear" w:color="auto" w:fill="2F5496" w:themeFill="accent1" w:themeFillShade="BF"/>
          </w:tcPr>
          <w:p w14:paraId="1B627413" w14:textId="77777777" w:rsidR="001F1CF3" w:rsidRPr="001B3E1F" w:rsidRDefault="001F1CF3" w:rsidP="001F1CF3">
            <w:pPr>
              <w:jc w:val="both"/>
              <w:rPr>
                <w:rFonts w:ascii="FS Elliot Pro" w:hAnsi="FS Elliot Pro"/>
                <w:b/>
                <w:color w:val="FFFFFF" w:themeColor="background1"/>
              </w:rPr>
            </w:pPr>
            <w:r w:rsidRPr="001B3E1F">
              <w:rPr>
                <w:rFonts w:ascii="FS Elliot Pro" w:hAnsi="FS Elliot Pro"/>
                <w:b/>
                <w:color w:val="FFFFFF" w:themeColor="background1"/>
              </w:rPr>
              <w:t>Revisado por</w:t>
            </w:r>
          </w:p>
        </w:tc>
        <w:tc>
          <w:tcPr>
            <w:tcW w:w="6569" w:type="dxa"/>
          </w:tcPr>
          <w:p w14:paraId="2B0BC6B5" w14:textId="77777777" w:rsidR="001F1CF3" w:rsidRDefault="00163B9A" w:rsidP="001F1CF3">
            <w:pPr>
              <w:jc w:val="both"/>
              <w:rPr>
                <w:rFonts w:ascii="FS Elliot Pro" w:hAnsi="FS Elliot Pro"/>
              </w:rPr>
            </w:pPr>
            <w:r>
              <w:rPr>
                <w:rFonts w:ascii="FS Elliot Pro" w:hAnsi="FS Elliot Pro"/>
              </w:rPr>
              <w:t>Diego Ulloa</w:t>
            </w:r>
          </w:p>
          <w:p w14:paraId="7DD2E45E" w14:textId="77777777" w:rsidR="00163B9A" w:rsidRPr="001B3E1F" w:rsidRDefault="00163B9A" w:rsidP="001F1CF3">
            <w:pPr>
              <w:jc w:val="both"/>
              <w:rPr>
                <w:rFonts w:ascii="FS Elliot Pro" w:hAnsi="FS Elliot Pro"/>
              </w:rPr>
            </w:pPr>
            <w:r>
              <w:rPr>
                <w:rFonts w:ascii="FS Elliot Pro" w:hAnsi="FS Elliot Pro"/>
              </w:rPr>
              <w:t xml:space="preserve">Carolina Echaurren </w:t>
            </w:r>
          </w:p>
        </w:tc>
      </w:tr>
      <w:tr w:rsidR="001F1CF3" w14:paraId="04F3C6D2" w14:textId="77777777" w:rsidTr="002851E1">
        <w:trPr>
          <w:trHeight w:val="300"/>
        </w:trPr>
        <w:tc>
          <w:tcPr>
            <w:tcW w:w="2263" w:type="dxa"/>
            <w:shd w:val="clear" w:color="auto" w:fill="2F5496" w:themeFill="accent1" w:themeFillShade="BF"/>
          </w:tcPr>
          <w:p w14:paraId="11FBD1FF" w14:textId="77777777" w:rsidR="001F1CF3" w:rsidRPr="001B3E1F" w:rsidRDefault="001F1CF3" w:rsidP="001F1CF3">
            <w:pPr>
              <w:jc w:val="both"/>
              <w:rPr>
                <w:rFonts w:ascii="FS Elliot Pro" w:hAnsi="FS Elliot Pro"/>
                <w:b/>
                <w:color w:val="FFFFFF" w:themeColor="background1"/>
              </w:rPr>
            </w:pPr>
            <w:r w:rsidRPr="001B3E1F">
              <w:rPr>
                <w:rFonts w:ascii="FS Elliot Pro" w:hAnsi="FS Elliot Pro"/>
                <w:b/>
                <w:color w:val="FFFFFF" w:themeColor="background1"/>
              </w:rPr>
              <w:t>Aprobado por</w:t>
            </w:r>
          </w:p>
        </w:tc>
        <w:tc>
          <w:tcPr>
            <w:tcW w:w="6569" w:type="dxa"/>
          </w:tcPr>
          <w:p w14:paraId="04B3E8B9" w14:textId="2098370F" w:rsidR="001F1CF3" w:rsidRPr="001B3E1F" w:rsidRDefault="00761331" w:rsidP="001F1CF3">
            <w:pPr>
              <w:jc w:val="both"/>
              <w:rPr>
                <w:rFonts w:ascii="FS Elliot Pro" w:hAnsi="FS Elliot Pro"/>
              </w:rPr>
            </w:pPr>
            <w:r>
              <w:rPr>
                <w:rFonts w:ascii="FS Elliot Pro" w:hAnsi="FS Elliot Pro"/>
              </w:rPr>
              <w:t>Comité de Inversiones Principal Vida</w:t>
            </w:r>
            <w:r w:rsidR="00CC541D">
              <w:rPr>
                <w:rFonts w:ascii="FS Elliot Pro" w:hAnsi="FS Elliot Pro"/>
              </w:rPr>
              <w:t xml:space="preserve"> y Directorio de Principal Vida</w:t>
            </w:r>
          </w:p>
        </w:tc>
      </w:tr>
      <w:bookmarkEnd w:id="7"/>
    </w:tbl>
    <w:p w14:paraId="171F0FF4" w14:textId="77777777" w:rsidR="001F1CF3" w:rsidRPr="001F1CF3" w:rsidRDefault="001F1CF3" w:rsidP="001F1CF3">
      <w:pPr>
        <w:jc w:val="both"/>
        <w:rPr>
          <w:rFonts w:ascii="FS Elliot Pro" w:hAnsi="FS Elliot Pro"/>
          <w:sz w:val="24"/>
          <w:szCs w:val="28"/>
        </w:rPr>
      </w:pPr>
    </w:p>
    <w:sectPr w:rsidR="001F1CF3" w:rsidRPr="001F1CF3">
      <w:footerReference w:type="default" r:id="rId15"/>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3" w:author="Gonzalez, Gonzalo" w:date="2021-08-18T18:21:00Z" w:initials="GG">
    <w:p w14:paraId="185A1A62" w14:textId="1E49E2B0" w:rsidR="00216BF5" w:rsidRDefault="00216BF5">
      <w:pPr>
        <w:pStyle w:val="Textocomentario"/>
      </w:pPr>
      <w:r>
        <w:rPr>
          <w:rStyle w:val="Refdecomentario"/>
        </w:rPr>
        <w:annotationRef/>
      </w:r>
      <w:r>
        <w:t>Crear indicador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85A1A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C7CE0D" w16cex:dateUtc="2021-08-18T2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85A1A62" w16cid:durableId="24C7CE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2AC114" w14:textId="77777777" w:rsidR="000F3F27" w:rsidRDefault="000F3F27" w:rsidP="001F1CF3">
      <w:pPr>
        <w:spacing w:after="0" w:line="240" w:lineRule="auto"/>
      </w:pPr>
      <w:r>
        <w:separator/>
      </w:r>
    </w:p>
  </w:endnote>
  <w:endnote w:type="continuationSeparator" w:id="0">
    <w:p w14:paraId="6EA97DDD" w14:textId="77777777" w:rsidR="000F3F27" w:rsidRDefault="000F3F27" w:rsidP="001F1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FS Elliot Pro">
    <w:altName w:val="Calibri"/>
    <w:panose1 w:val="00000000000000000000"/>
    <w:charset w:val="00"/>
    <w:family w:val="modern"/>
    <w:notTrueType/>
    <w:pitch w:val="variable"/>
    <w:sig w:usb0="A00002AF" w:usb1="5000207B"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2BB4F6" w14:textId="77777777" w:rsidR="00813D43" w:rsidRDefault="00813D43">
    <w:pPr>
      <w:pStyle w:val="Piedepgina"/>
    </w:pPr>
    <w:r>
      <w:rPr>
        <w:noProof/>
      </w:rPr>
      <mc:AlternateContent>
        <mc:Choice Requires="wps">
          <w:drawing>
            <wp:anchor distT="0" distB="0" distL="114300" distR="114300" simplePos="0" relativeHeight="251659264" behindDoc="0" locked="0" layoutInCell="0" allowOverlap="1" wp14:anchorId="1BE83286" wp14:editId="4CD9B9E0">
              <wp:simplePos x="0" y="0"/>
              <wp:positionH relativeFrom="page">
                <wp:posOffset>0</wp:posOffset>
              </wp:positionH>
              <wp:positionV relativeFrom="page">
                <wp:posOffset>9601200</wp:posOffset>
              </wp:positionV>
              <wp:extent cx="7772400" cy="266700"/>
              <wp:effectExtent l="0" t="0" r="0" b="0"/>
              <wp:wrapNone/>
              <wp:docPr id="1" name="MSIPCM09904fc198946e68776b976c" descr="{&quot;HashCode&quot;:-9020057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E9CEDB1" w14:textId="5C03D53E" w:rsidR="00813D43" w:rsidRPr="003940D8" w:rsidRDefault="003940D8" w:rsidP="003940D8">
                          <w:pPr>
                            <w:spacing w:after="0"/>
                            <w:rPr>
                              <w:rFonts w:ascii="Calibri" w:hAnsi="Calibri" w:cs="Calibri"/>
                              <w:color w:val="737373"/>
                              <w:sz w:val="18"/>
                            </w:rPr>
                          </w:pPr>
                          <w:r w:rsidRPr="003940D8">
                            <w:rPr>
                              <w:rFonts w:ascii="Calibri" w:hAnsi="Calibri" w:cs="Calibri"/>
                              <w:color w:val="737373"/>
                              <w:sz w:val="18"/>
                            </w:rPr>
                            <w:t>Classification: Company 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1BE83286" id="_x0000_t202" coordsize="21600,21600" o:spt="202" path="m,l,21600r21600,l21600,xe">
              <v:stroke joinstyle="miter"/>
              <v:path gradientshapeok="t" o:connecttype="rect"/>
            </v:shapetype>
            <v:shape id="MSIPCM09904fc198946e68776b976c" o:spid="_x0000_s1026" type="#_x0000_t202" alt="{&quot;HashCode&quot;:-90200579,&quot;Height&quot;:792.0,&quot;Width&quot;:612.0,&quot;Placement&quot;:&quot;Footer&quot;,&quot;Index&quot;:&quot;Primary&quot;,&quot;Section&quot;:1,&quot;Top&quot;:0.0,&quot;Left&quot;:0.0}" style="position:absolute;margin-left:0;margin-top:756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" o:allowincell="f" filled="f" stroked="f" strokeweight=".5pt">
              <v:textbox inset="20pt,0,,0">
                <w:txbxContent>
                  <w:p w14:paraId="6E9CEDB1" w14:textId="5C03D53E" w:rsidR="00813D43" w:rsidRPr="003940D8" w:rsidRDefault="003940D8" w:rsidP="003940D8">
                    <w:pPr>
                      <w:spacing w:after="0"/>
                      <w:rPr>
                        <w:rFonts w:ascii="Calibri" w:hAnsi="Calibri" w:cs="Calibri"/>
                        <w:color w:val="737373"/>
                        <w:sz w:val="18"/>
                      </w:rPr>
                    </w:pPr>
                    <w:r w:rsidRPr="003940D8">
                      <w:rPr>
                        <w:rFonts w:ascii="Calibri" w:hAnsi="Calibri" w:cs="Calibri"/>
                        <w:color w:val="737373"/>
                        <w:sz w:val="18"/>
                      </w:rPr>
                      <w:t>Classification: Company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314437" w14:textId="77777777" w:rsidR="000F3F27" w:rsidRDefault="000F3F27" w:rsidP="001F1CF3">
      <w:pPr>
        <w:spacing w:after="0" w:line="240" w:lineRule="auto"/>
      </w:pPr>
      <w:r>
        <w:separator/>
      </w:r>
    </w:p>
  </w:footnote>
  <w:footnote w:type="continuationSeparator" w:id="0">
    <w:p w14:paraId="6A7ACDEE" w14:textId="77777777" w:rsidR="000F3F27" w:rsidRDefault="000F3F27" w:rsidP="001F1CF3">
      <w:pPr>
        <w:spacing w:after="0" w:line="240" w:lineRule="auto"/>
      </w:pPr>
      <w:r>
        <w:continuationSeparator/>
      </w:r>
    </w:p>
  </w:footnote>
  <w:footnote w:id="1">
    <w:p w14:paraId="78B197EC" w14:textId="53E3CEC3" w:rsidR="004336B8" w:rsidRPr="003940D8" w:rsidRDefault="004336B8">
      <w:pPr>
        <w:pStyle w:val="Textonotapie"/>
        <w:rPr>
          <w:lang w:val="es-MX"/>
        </w:rPr>
      </w:pPr>
      <w:r>
        <w:rPr>
          <w:rStyle w:val="Refdenotaalpie"/>
        </w:rPr>
        <w:footnoteRef/>
      </w:r>
      <w:r>
        <w:t xml:space="preserve"> </w:t>
      </w:r>
      <w:r w:rsidR="00192F37" w:rsidRPr="00654CEB">
        <w:t>Renta fija local incluye bonos bancarios y corporativos, bonos subordinados, letras hipotecarias, bonos de gobierno y créditos sindicados. Los créditos sindicados tendrán un tope máximo de 5% de portafolio total de la compañía</w:t>
      </w:r>
      <w:r w:rsidR="00192F37">
        <w:t>.</w:t>
      </w:r>
    </w:p>
  </w:footnote>
  <w:footnote w:id="2">
    <w:p w14:paraId="14DD5805" w14:textId="5143D5A4" w:rsidR="004336B8" w:rsidRPr="003940D8" w:rsidRDefault="004336B8">
      <w:pPr>
        <w:pStyle w:val="Textonotapie"/>
        <w:rPr>
          <w:lang w:val="es-MX"/>
        </w:rPr>
      </w:pPr>
      <w:r>
        <w:rPr>
          <w:rStyle w:val="Refdenotaalpie"/>
        </w:rPr>
        <w:footnoteRef/>
      </w:r>
      <w:r>
        <w:t xml:space="preserve"> </w:t>
      </w:r>
      <w:r w:rsidR="0032280B" w:rsidRPr="00654CEB">
        <w:t>Incluyen inversiones locales e internacionales.</w:t>
      </w:r>
    </w:p>
  </w:footnote>
  <w:footnote w:id="3">
    <w:p w14:paraId="66C4E1DC" w14:textId="60CFDE13" w:rsidR="00A2086A" w:rsidRDefault="004336B8" w:rsidP="00A2086A">
      <w:pPr>
        <w:pStyle w:val="Textonotapie"/>
      </w:pPr>
      <w:r>
        <w:rPr>
          <w:rStyle w:val="Refdenotaalpie"/>
        </w:rPr>
        <w:footnoteRef/>
      </w:r>
      <w:r>
        <w:t xml:space="preserve"> </w:t>
      </w:r>
      <w:r w:rsidR="00A2086A" w:rsidRPr="00654CEB">
        <w:t>Incluyen fondos de infraestructura</w:t>
      </w:r>
      <w:r w:rsidR="002F10AF">
        <w:t xml:space="preserve"> greenfield</w:t>
      </w:r>
      <w:r w:rsidR="00A2086A" w:rsidRPr="00654CEB">
        <w:t>, deuda internacional, entre otros.</w:t>
      </w:r>
    </w:p>
    <w:p w14:paraId="51944EF3" w14:textId="2A19A877" w:rsidR="004336B8" w:rsidRPr="00A2086A" w:rsidRDefault="004336B8">
      <w:pPr>
        <w:pStyle w:val="Textonotapie"/>
      </w:pPr>
    </w:p>
  </w:footnote>
  <w:footnote w:id="4">
    <w:p w14:paraId="56FB567A" w14:textId="34A796D7" w:rsidR="00FD1E03" w:rsidRPr="003940D8" w:rsidRDefault="00FD1E03">
      <w:pPr>
        <w:pStyle w:val="Textonotapie"/>
        <w:rPr>
          <w:lang w:val="es-MX"/>
        </w:rPr>
      </w:pPr>
      <w:r>
        <w:rPr>
          <w:rStyle w:val="Refdenotaalpie"/>
        </w:rPr>
        <w:footnoteRef/>
      </w:r>
      <w:r>
        <w:t xml:space="preserve"> </w:t>
      </w:r>
      <w:r w:rsidRPr="002526CE">
        <w:rPr>
          <w:rFonts w:ascii="FS Elliot Pro" w:hAnsi="FS Elliot Pro"/>
          <w:szCs w:val="28"/>
        </w:rPr>
        <w:t>Se permite la inversión en emisiones extranjeras de instituciones o empresas locales.</w:t>
      </w:r>
    </w:p>
  </w:footnote>
  <w:footnote w:id="5">
    <w:p w14:paraId="26748812" w14:textId="3406B207" w:rsidR="00FD1E03" w:rsidRPr="003940D8" w:rsidRDefault="00FD1E03">
      <w:pPr>
        <w:pStyle w:val="Textonotapie"/>
        <w:rPr>
          <w:lang w:val="es-MX"/>
        </w:rPr>
      </w:pPr>
      <w:r>
        <w:rPr>
          <w:rStyle w:val="Refdenotaalpie"/>
        </w:rPr>
        <w:footnoteRef/>
      </w:r>
      <w:r>
        <w:t xml:space="preserve"> </w:t>
      </w:r>
      <w:r w:rsidRPr="002526CE">
        <w:rPr>
          <w:rFonts w:ascii="FS Elliot Pro" w:hAnsi="FS Elliot Pro"/>
          <w:szCs w:val="28"/>
        </w:rPr>
        <w:t>Refiérese a aquellos bonos colateralizados emitidos por bancos cuyo colateral son créditos hipotecarios.</w:t>
      </w:r>
    </w:p>
  </w:footnote>
  <w:footnote w:id="6">
    <w:p w14:paraId="1506B329" w14:textId="3A21F2E6" w:rsidR="00FD1E03" w:rsidRPr="003940D8" w:rsidRDefault="00FD1E03">
      <w:pPr>
        <w:pStyle w:val="Textonotapie"/>
        <w:rPr>
          <w:lang w:val="es-MX"/>
        </w:rPr>
      </w:pPr>
      <w:r>
        <w:rPr>
          <w:rStyle w:val="Refdenotaalpie"/>
        </w:rPr>
        <w:footnoteRef/>
      </w:r>
      <w:r>
        <w:t xml:space="preserve"> </w:t>
      </w:r>
      <w:r w:rsidRPr="002526CE">
        <w:rPr>
          <w:rFonts w:ascii="FS Elliot Pro" w:hAnsi="FS Elliot Pro"/>
          <w:szCs w:val="28"/>
        </w:rPr>
        <w:t>No incluye las Letras Hipotecarias. El sub-tipo de bonos subordinados bancarios tendrá un límite máximo de 20%.</w:t>
      </w:r>
    </w:p>
  </w:footnote>
  <w:footnote w:id="7">
    <w:p w14:paraId="388028DE" w14:textId="167F126B" w:rsidR="00241B37" w:rsidRPr="0013399E" w:rsidRDefault="00241B37">
      <w:pPr>
        <w:pStyle w:val="Textonotapie"/>
      </w:pPr>
      <w:r>
        <w:rPr>
          <w:rStyle w:val="Refdenotaalpie"/>
        </w:rPr>
        <w:footnoteRef/>
      </w:r>
      <w:r>
        <w:t xml:space="preserve"> </w:t>
      </w:r>
      <w:r w:rsidR="0013399E" w:rsidRPr="00397A36">
        <w:rPr>
          <w:rFonts w:ascii="FS Elliot Pro" w:hAnsi="FS Elliot Pro"/>
          <w:szCs w:val="28"/>
        </w:rPr>
        <w:t>Se permite la inversión en emisiones extranjeras de instituciones o empresas locales</w:t>
      </w:r>
      <w:r w:rsidR="0013399E">
        <w:rPr>
          <w:rFonts w:ascii="FS Elliot Pro" w:hAnsi="FS Elliot Pro"/>
          <w:szCs w:val="28"/>
        </w:rPr>
        <w:t>.</w:t>
      </w:r>
    </w:p>
  </w:footnote>
  <w:footnote w:id="8">
    <w:p w14:paraId="0237F1EF" w14:textId="1A7EB0F2" w:rsidR="00241B37" w:rsidRPr="003940D8" w:rsidRDefault="00241B37">
      <w:pPr>
        <w:pStyle w:val="Textonotapie"/>
        <w:rPr>
          <w:lang w:val="es-MX"/>
        </w:rPr>
      </w:pPr>
      <w:r>
        <w:rPr>
          <w:rStyle w:val="Refdenotaalpie"/>
        </w:rPr>
        <w:footnoteRef/>
      </w:r>
      <w:r>
        <w:t xml:space="preserve"> </w:t>
      </w:r>
      <w:r w:rsidR="0013399E" w:rsidRPr="00397A36">
        <w:rPr>
          <w:rFonts w:ascii="FS Elliot Pro" w:hAnsi="FS Elliot Pro"/>
          <w:szCs w:val="28"/>
        </w:rPr>
        <w:t>Refiérese a aquellos bonos colateralizados emitidos por bancos cuyo colateral son créditos hipotecarios.</w:t>
      </w:r>
    </w:p>
  </w:footnote>
  <w:footnote w:id="9">
    <w:p w14:paraId="4C11C719" w14:textId="78C8581C" w:rsidR="0013399E" w:rsidRPr="003940D8" w:rsidRDefault="0013399E">
      <w:pPr>
        <w:pStyle w:val="Textonotapie"/>
        <w:rPr>
          <w:lang w:val="es-MX"/>
        </w:rPr>
      </w:pPr>
      <w:r>
        <w:rPr>
          <w:rStyle w:val="Refdenotaalpie"/>
        </w:rPr>
        <w:footnoteRef/>
      </w:r>
      <w:r>
        <w:t xml:space="preserve"> </w:t>
      </w:r>
      <w:r w:rsidRPr="0013399E">
        <w:t>No incluye las Letras Hipotecarias. El sub-tipo de bonos subordinados bancarios tendrá un límite máximo de 20%.</w:t>
      </w:r>
    </w:p>
  </w:footnote>
  <w:footnote w:id="10">
    <w:p w14:paraId="01F46DDE" w14:textId="77777777" w:rsidR="001D08F8" w:rsidRPr="00675979" w:rsidRDefault="001D08F8" w:rsidP="001D08F8">
      <w:pPr>
        <w:pStyle w:val="Textonotapie"/>
      </w:pPr>
      <w:r>
        <w:rPr>
          <w:rStyle w:val="Refdenotaalpie"/>
        </w:rPr>
        <w:footnoteRef/>
      </w:r>
      <w:r>
        <w:t xml:space="preserve"> </w:t>
      </w:r>
      <w:r w:rsidRPr="00397A36">
        <w:rPr>
          <w:rFonts w:ascii="FS Elliot Pro" w:hAnsi="FS Elliot Pro"/>
          <w:szCs w:val="28"/>
        </w:rPr>
        <w:t>Se permite la inversión en emisiones extranjeras de instituciones o empresas locales</w:t>
      </w:r>
      <w:r>
        <w:rPr>
          <w:rFonts w:ascii="FS Elliot Pro" w:hAnsi="FS Elliot Pro"/>
          <w:szCs w:val="2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8E7150"/>
    <w:multiLevelType w:val="hybridMultilevel"/>
    <w:tmpl w:val="AF46C6C2"/>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F162349"/>
    <w:multiLevelType w:val="hybridMultilevel"/>
    <w:tmpl w:val="84A095BE"/>
    <w:lvl w:ilvl="0" w:tplc="85822ABA">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7FD1EFE"/>
    <w:multiLevelType w:val="hybridMultilevel"/>
    <w:tmpl w:val="9404D688"/>
    <w:lvl w:ilvl="0" w:tplc="340A0013">
      <w:start w:val="1"/>
      <w:numFmt w:val="upperRoman"/>
      <w:lvlText w:val="%1."/>
      <w:lvlJc w:val="righ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40B8188D"/>
    <w:multiLevelType w:val="hybridMultilevel"/>
    <w:tmpl w:val="5C78C5FC"/>
    <w:lvl w:ilvl="0" w:tplc="AEF0AC98">
      <w:numFmt w:val="bullet"/>
      <w:lvlText w:val="•"/>
      <w:lvlJc w:val="left"/>
      <w:pPr>
        <w:ind w:left="720" w:hanging="360"/>
      </w:pPr>
      <w:rPr>
        <w:rFonts w:ascii="FS Elliot Pro" w:eastAsiaTheme="minorHAnsi" w:hAnsi="FS Elliot Pro"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40B81F31"/>
    <w:multiLevelType w:val="hybridMultilevel"/>
    <w:tmpl w:val="59769B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E531933"/>
    <w:multiLevelType w:val="hybridMultilevel"/>
    <w:tmpl w:val="D53E30B6"/>
    <w:lvl w:ilvl="0" w:tplc="AEF0AC98">
      <w:numFmt w:val="bullet"/>
      <w:lvlText w:val="•"/>
      <w:lvlJc w:val="left"/>
      <w:pPr>
        <w:ind w:left="720" w:hanging="360"/>
      </w:pPr>
      <w:rPr>
        <w:rFonts w:ascii="FS Elliot Pro" w:eastAsiaTheme="minorHAnsi" w:hAnsi="FS Elliot Pro"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2C106E8"/>
    <w:multiLevelType w:val="hybridMultilevel"/>
    <w:tmpl w:val="BFFE02B8"/>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7" w15:restartNumberingAfterBreak="0">
    <w:nsid w:val="56F116A7"/>
    <w:multiLevelType w:val="hybridMultilevel"/>
    <w:tmpl w:val="759C446E"/>
    <w:lvl w:ilvl="0" w:tplc="6D06DBAA">
      <w:start w:val="1"/>
      <w:numFmt w:val="lowerRoman"/>
      <w:lvlText w:val="%1."/>
      <w:lvlJc w:val="left"/>
      <w:pPr>
        <w:ind w:left="1080" w:hanging="720"/>
      </w:pPr>
      <w:rPr>
        <w:rFonts w:hint="default"/>
      </w:rPr>
    </w:lvl>
    <w:lvl w:ilvl="1" w:tplc="90C45774">
      <w:start w:val="1"/>
      <w:numFmt w:val="bullet"/>
      <w:lvlText w:val=""/>
      <w:lvlJc w:val="left"/>
      <w:pPr>
        <w:ind w:left="1440" w:hanging="360"/>
      </w:pPr>
      <w:rPr>
        <w:rFonts w:ascii="Symbol" w:eastAsiaTheme="minorHAnsi" w:hAnsi="Symbol" w:cstheme="minorBidi"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2"/>
  </w:num>
  <w:num w:numId="2">
    <w:abstractNumId w:val="7"/>
  </w:num>
  <w:num w:numId="3">
    <w:abstractNumId w:val="6"/>
  </w:num>
  <w:num w:numId="4">
    <w:abstractNumId w:val="4"/>
  </w:num>
  <w:num w:numId="5">
    <w:abstractNumId w:val="5"/>
  </w:num>
  <w:num w:numId="6">
    <w:abstractNumId w:val="3"/>
  </w:num>
  <w:num w:numId="7">
    <w:abstractNumId w:val="0"/>
  </w:num>
  <w:num w:numId="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Gonzalez, Gonzalo">
    <w15:presenceInfo w15:providerId="AD" w15:userId="S::gonzalez.gonzalo@principal.com::ca9278a3-b168-4fd6-9981-85b2abac29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CF3"/>
    <w:rsid w:val="0000139D"/>
    <w:rsid w:val="000061A1"/>
    <w:rsid w:val="00012941"/>
    <w:rsid w:val="00015F60"/>
    <w:rsid w:val="00017BC9"/>
    <w:rsid w:val="000229A1"/>
    <w:rsid w:val="00024525"/>
    <w:rsid w:val="000256E2"/>
    <w:rsid w:val="00030AB0"/>
    <w:rsid w:val="00030E1F"/>
    <w:rsid w:val="00033A14"/>
    <w:rsid w:val="0003527A"/>
    <w:rsid w:val="00035E45"/>
    <w:rsid w:val="000370C3"/>
    <w:rsid w:val="00050E3B"/>
    <w:rsid w:val="0005252C"/>
    <w:rsid w:val="00056905"/>
    <w:rsid w:val="00060EC8"/>
    <w:rsid w:val="00065327"/>
    <w:rsid w:val="00072E42"/>
    <w:rsid w:val="000736B5"/>
    <w:rsid w:val="00073AE3"/>
    <w:rsid w:val="00073CE0"/>
    <w:rsid w:val="00074D41"/>
    <w:rsid w:val="0008299A"/>
    <w:rsid w:val="0008464E"/>
    <w:rsid w:val="0008662B"/>
    <w:rsid w:val="00092A74"/>
    <w:rsid w:val="0009437B"/>
    <w:rsid w:val="00094C95"/>
    <w:rsid w:val="000A4DD5"/>
    <w:rsid w:val="000A59B8"/>
    <w:rsid w:val="000A5B17"/>
    <w:rsid w:val="000A618A"/>
    <w:rsid w:val="000B00AF"/>
    <w:rsid w:val="000B102E"/>
    <w:rsid w:val="000B3CC5"/>
    <w:rsid w:val="000B5496"/>
    <w:rsid w:val="000C3166"/>
    <w:rsid w:val="000C41A7"/>
    <w:rsid w:val="000C48CA"/>
    <w:rsid w:val="000C778A"/>
    <w:rsid w:val="000D15B9"/>
    <w:rsid w:val="000D32C1"/>
    <w:rsid w:val="000D3954"/>
    <w:rsid w:val="000D5AEC"/>
    <w:rsid w:val="000D5C4F"/>
    <w:rsid w:val="000D66B5"/>
    <w:rsid w:val="000D6830"/>
    <w:rsid w:val="000E12B6"/>
    <w:rsid w:val="000E2D43"/>
    <w:rsid w:val="000E5E29"/>
    <w:rsid w:val="000F016B"/>
    <w:rsid w:val="000F081A"/>
    <w:rsid w:val="000F0D12"/>
    <w:rsid w:val="000F3F27"/>
    <w:rsid w:val="000F44B6"/>
    <w:rsid w:val="000F5B0F"/>
    <w:rsid w:val="000F6396"/>
    <w:rsid w:val="000F73C9"/>
    <w:rsid w:val="000F7B68"/>
    <w:rsid w:val="001064EB"/>
    <w:rsid w:val="001167DA"/>
    <w:rsid w:val="00117E48"/>
    <w:rsid w:val="00120BB1"/>
    <w:rsid w:val="00121C4F"/>
    <w:rsid w:val="00121D44"/>
    <w:rsid w:val="001234E7"/>
    <w:rsid w:val="00126310"/>
    <w:rsid w:val="00126B57"/>
    <w:rsid w:val="0013029D"/>
    <w:rsid w:val="00131423"/>
    <w:rsid w:val="0013399E"/>
    <w:rsid w:val="00134976"/>
    <w:rsid w:val="001352DD"/>
    <w:rsid w:val="001357B7"/>
    <w:rsid w:val="00141BCD"/>
    <w:rsid w:val="00145465"/>
    <w:rsid w:val="00147C57"/>
    <w:rsid w:val="00151795"/>
    <w:rsid w:val="00154DB1"/>
    <w:rsid w:val="00163B9A"/>
    <w:rsid w:val="00164242"/>
    <w:rsid w:val="00165253"/>
    <w:rsid w:val="00166199"/>
    <w:rsid w:val="00171156"/>
    <w:rsid w:val="00171AF0"/>
    <w:rsid w:val="0017311B"/>
    <w:rsid w:val="00173ABE"/>
    <w:rsid w:val="00174428"/>
    <w:rsid w:val="00174F7C"/>
    <w:rsid w:val="00176C4B"/>
    <w:rsid w:val="00177438"/>
    <w:rsid w:val="001774E7"/>
    <w:rsid w:val="00181F10"/>
    <w:rsid w:val="00185F29"/>
    <w:rsid w:val="001872E6"/>
    <w:rsid w:val="00187628"/>
    <w:rsid w:val="00187DBC"/>
    <w:rsid w:val="00190A04"/>
    <w:rsid w:val="00192F37"/>
    <w:rsid w:val="00197EAC"/>
    <w:rsid w:val="001A0140"/>
    <w:rsid w:val="001A1496"/>
    <w:rsid w:val="001A3E11"/>
    <w:rsid w:val="001A4460"/>
    <w:rsid w:val="001A56C4"/>
    <w:rsid w:val="001B26D4"/>
    <w:rsid w:val="001B3E1F"/>
    <w:rsid w:val="001B4997"/>
    <w:rsid w:val="001B7643"/>
    <w:rsid w:val="001B7CA7"/>
    <w:rsid w:val="001C660C"/>
    <w:rsid w:val="001D08F8"/>
    <w:rsid w:val="001D6DEC"/>
    <w:rsid w:val="001E6144"/>
    <w:rsid w:val="001E6985"/>
    <w:rsid w:val="001F1CF3"/>
    <w:rsid w:val="001F4A9C"/>
    <w:rsid w:val="001F6F5E"/>
    <w:rsid w:val="001F7435"/>
    <w:rsid w:val="00200042"/>
    <w:rsid w:val="00202CF2"/>
    <w:rsid w:val="00205414"/>
    <w:rsid w:val="00205858"/>
    <w:rsid w:val="0020648D"/>
    <w:rsid w:val="00207AD6"/>
    <w:rsid w:val="00216BB1"/>
    <w:rsid w:val="00216BF5"/>
    <w:rsid w:val="002209AC"/>
    <w:rsid w:val="00225FA7"/>
    <w:rsid w:val="002337B7"/>
    <w:rsid w:val="00233D07"/>
    <w:rsid w:val="00235CB0"/>
    <w:rsid w:val="002361BE"/>
    <w:rsid w:val="00241B37"/>
    <w:rsid w:val="002448F5"/>
    <w:rsid w:val="0024535C"/>
    <w:rsid w:val="002467D4"/>
    <w:rsid w:val="00246FC3"/>
    <w:rsid w:val="002526CE"/>
    <w:rsid w:val="0025374D"/>
    <w:rsid w:val="002549AC"/>
    <w:rsid w:val="0025521F"/>
    <w:rsid w:val="00260CF1"/>
    <w:rsid w:val="0026137E"/>
    <w:rsid w:val="00267805"/>
    <w:rsid w:val="002701E3"/>
    <w:rsid w:val="002702CF"/>
    <w:rsid w:val="0027077D"/>
    <w:rsid w:val="00271471"/>
    <w:rsid w:val="002714AC"/>
    <w:rsid w:val="00273738"/>
    <w:rsid w:val="002756DB"/>
    <w:rsid w:val="00276E1C"/>
    <w:rsid w:val="00283BB0"/>
    <w:rsid w:val="002851E1"/>
    <w:rsid w:val="002875DE"/>
    <w:rsid w:val="00290CC0"/>
    <w:rsid w:val="00294A2B"/>
    <w:rsid w:val="002A0640"/>
    <w:rsid w:val="002A0D55"/>
    <w:rsid w:val="002A13B0"/>
    <w:rsid w:val="002A35F9"/>
    <w:rsid w:val="002A5221"/>
    <w:rsid w:val="002A759A"/>
    <w:rsid w:val="002B1ED0"/>
    <w:rsid w:val="002B218B"/>
    <w:rsid w:val="002B4612"/>
    <w:rsid w:val="002B606D"/>
    <w:rsid w:val="002B7066"/>
    <w:rsid w:val="002B78D4"/>
    <w:rsid w:val="002B7923"/>
    <w:rsid w:val="002C4D7A"/>
    <w:rsid w:val="002C780E"/>
    <w:rsid w:val="002D1DD0"/>
    <w:rsid w:val="002D5FEA"/>
    <w:rsid w:val="002D692C"/>
    <w:rsid w:val="002D786F"/>
    <w:rsid w:val="002D7D6B"/>
    <w:rsid w:val="002E1C5F"/>
    <w:rsid w:val="002E2295"/>
    <w:rsid w:val="002F10AF"/>
    <w:rsid w:val="002F4164"/>
    <w:rsid w:val="002F41D2"/>
    <w:rsid w:val="002F4E5E"/>
    <w:rsid w:val="003023CC"/>
    <w:rsid w:val="00304FF0"/>
    <w:rsid w:val="00310564"/>
    <w:rsid w:val="0031174F"/>
    <w:rsid w:val="00320F39"/>
    <w:rsid w:val="00321823"/>
    <w:rsid w:val="00322398"/>
    <w:rsid w:val="0032280B"/>
    <w:rsid w:val="00322944"/>
    <w:rsid w:val="003231AB"/>
    <w:rsid w:val="00324142"/>
    <w:rsid w:val="00330B1A"/>
    <w:rsid w:val="00332F73"/>
    <w:rsid w:val="00333CC4"/>
    <w:rsid w:val="00334007"/>
    <w:rsid w:val="0034080B"/>
    <w:rsid w:val="003424C0"/>
    <w:rsid w:val="00342841"/>
    <w:rsid w:val="003439E0"/>
    <w:rsid w:val="00344611"/>
    <w:rsid w:val="0035138F"/>
    <w:rsid w:val="00351CE2"/>
    <w:rsid w:val="00353E38"/>
    <w:rsid w:val="0035561E"/>
    <w:rsid w:val="00362650"/>
    <w:rsid w:val="00363D5E"/>
    <w:rsid w:val="003644C6"/>
    <w:rsid w:val="00370DE5"/>
    <w:rsid w:val="003723D8"/>
    <w:rsid w:val="00376C42"/>
    <w:rsid w:val="00381603"/>
    <w:rsid w:val="003845ED"/>
    <w:rsid w:val="0038553E"/>
    <w:rsid w:val="00385744"/>
    <w:rsid w:val="00387B36"/>
    <w:rsid w:val="00390311"/>
    <w:rsid w:val="003940D8"/>
    <w:rsid w:val="0039431D"/>
    <w:rsid w:val="00396594"/>
    <w:rsid w:val="0039700F"/>
    <w:rsid w:val="00397A36"/>
    <w:rsid w:val="003A3700"/>
    <w:rsid w:val="003A3BC0"/>
    <w:rsid w:val="003A3C59"/>
    <w:rsid w:val="003A50E8"/>
    <w:rsid w:val="003B0C4D"/>
    <w:rsid w:val="003C0F28"/>
    <w:rsid w:val="003C4612"/>
    <w:rsid w:val="003C666A"/>
    <w:rsid w:val="003C6D72"/>
    <w:rsid w:val="003C7169"/>
    <w:rsid w:val="003D04D2"/>
    <w:rsid w:val="003D1C36"/>
    <w:rsid w:val="003D3D66"/>
    <w:rsid w:val="003D4F29"/>
    <w:rsid w:val="003D59E1"/>
    <w:rsid w:val="003E0A74"/>
    <w:rsid w:val="003E1AF7"/>
    <w:rsid w:val="003E4194"/>
    <w:rsid w:val="003E49EB"/>
    <w:rsid w:val="003E6AA9"/>
    <w:rsid w:val="003E7363"/>
    <w:rsid w:val="003E784A"/>
    <w:rsid w:val="003F0CC5"/>
    <w:rsid w:val="003F4788"/>
    <w:rsid w:val="003F4F82"/>
    <w:rsid w:val="003F6B88"/>
    <w:rsid w:val="00404B37"/>
    <w:rsid w:val="0040629F"/>
    <w:rsid w:val="0041163B"/>
    <w:rsid w:val="00412236"/>
    <w:rsid w:val="004210F5"/>
    <w:rsid w:val="0042216A"/>
    <w:rsid w:val="004237DE"/>
    <w:rsid w:val="004336B8"/>
    <w:rsid w:val="00435784"/>
    <w:rsid w:val="004370E2"/>
    <w:rsid w:val="00442283"/>
    <w:rsid w:val="00443D44"/>
    <w:rsid w:val="00444D09"/>
    <w:rsid w:val="00446463"/>
    <w:rsid w:val="004511EB"/>
    <w:rsid w:val="00451D57"/>
    <w:rsid w:val="00452B08"/>
    <w:rsid w:val="00452E90"/>
    <w:rsid w:val="0045314E"/>
    <w:rsid w:val="004531A9"/>
    <w:rsid w:val="00454104"/>
    <w:rsid w:val="004570DF"/>
    <w:rsid w:val="00463BF1"/>
    <w:rsid w:val="00466291"/>
    <w:rsid w:val="00473DE4"/>
    <w:rsid w:val="00477774"/>
    <w:rsid w:val="004801FD"/>
    <w:rsid w:val="00483224"/>
    <w:rsid w:val="004832C6"/>
    <w:rsid w:val="004836F8"/>
    <w:rsid w:val="00486882"/>
    <w:rsid w:val="00487321"/>
    <w:rsid w:val="00487757"/>
    <w:rsid w:val="0048780D"/>
    <w:rsid w:val="0049061B"/>
    <w:rsid w:val="00491A6C"/>
    <w:rsid w:val="004932CA"/>
    <w:rsid w:val="00493504"/>
    <w:rsid w:val="00494720"/>
    <w:rsid w:val="00495A60"/>
    <w:rsid w:val="00497359"/>
    <w:rsid w:val="004A1A88"/>
    <w:rsid w:val="004A237F"/>
    <w:rsid w:val="004A28D4"/>
    <w:rsid w:val="004A3721"/>
    <w:rsid w:val="004A422E"/>
    <w:rsid w:val="004A5F19"/>
    <w:rsid w:val="004A6118"/>
    <w:rsid w:val="004B237C"/>
    <w:rsid w:val="004B6056"/>
    <w:rsid w:val="004B6293"/>
    <w:rsid w:val="004B6870"/>
    <w:rsid w:val="004B7422"/>
    <w:rsid w:val="004C1D5C"/>
    <w:rsid w:val="004C4EAA"/>
    <w:rsid w:val="004C5625"/>
    <w:rsid w:val="004D04CA"/>
    <w:rsid w:val="004D2055"/>
    <w:rsid w:val="004D6C0E"/>
    <w:rsid w:val="004E3186"/>
    <w:rsid w:val="004E3B71"/>
    <w:rsid w:val="004F42E6"/>
    <w:rsid w:val="004F55A8"/>
    <w:rsid w:val="004F6FA9"/>
    <w:rsid w:val="005101E1"/>
    <w:rsid w:val="005122D2"/>
    <w:rsid w:val="005128E0"/>
    <w:rsid w:val="005158A3"/>
    <w:rsid w:val="00523AA0"/>
    <w:rsid w:val="005278DA"/>
    <w:rsid w:val="00527DF2"/>
    <w:rsid w:val="00527FFA"/>
    <w:rsid w:val="005315B6"/>
    <w:rsid w:val="00536BF4"/>
    <w:rsid w:val="0053785B"/>
    <w:rsid w:val="005420D2"/>
    <w:rsid w:val="00542C9F"/>
    <w:rsid w:val="00546CC1"/>
    <w:rsid w:val="00556563"/>
    <w:rsid w:val="00556F81"/>
    <w:rsid w:val="00561901"/>
    <w:rsid w:val="00570EAB"/>
    <w:rsid w:val="005711F6"/>
    <w:rsid w:val="00571D9C"/>
    <w:rsid w:val="00575C40"/>
    <w:rsid w:val="005829BE"/>
    <w:rsid w:val="00586AA7"/>
    <w:rsid w:val="00593EE1"/>
    <w:rsid w:val="00595897"/>
    <w:rsid w:val="00596658"/>
    <w:rsid w:val="00597928"/>
    <w:rsid w:val="005A128F"/>
    <w:rsid w:val="005A1C2A"/>
    <w:rsid w:val="005A2AE5"/>
    <w:rsid w:val="005B1839"/>
    <w:rsid w:val="005B63AC"/>
    <w:rsid w:val="005C048A"/>
    <w:rsid w:val="005C11C0"/>
    <w:rsid w:val="005C39CB"/>
    <w:rsid w:val="005C6516"/>
    <w:rsid w:val="005D112C"/>
    <w:rsid w:val="005D3C08"/>
    <w:rsid w:val="005D526B"/>
    <w:rsid w:val="005D6A4F"/>
    <w:rsid w:val="005E4A7B"/>
    <w:rsid w:val="005E6AC9"/>
    <w:rsid w:val="005F1399"/>
    <w:rsid w:val="005F38C8"/>
    <w:rsid w:val="005F47BB"/>
    <w:rsid w:val="005F784E"/>
    <w:rsid w:val="0060071C"/>
    <w:rsid w:val="0060121C"/>
    <w:rsid w:val="00601977"/>
    <w:rsid w:val="0060334B"/>
    <w:rsid w:val="00605031"/>
    <w:rsid w:val="006055E9"/>
    <w:rsid w:val="0060580C"/>
    <w:rsid w:val="0060649A"/>
    <w:rsid w:val="00611982"/>
    <w:rsid w:val="00611E3E"/>
    <w:rsid w:val="0061277C"/>
    <w:rsid w:val="0061363A"/>
    <w:rsid w:val="00614065"/>
    <w:rsid w:val="00617202"/>
    <w:rsid w:val="00621153"/>
    <w:rsid w:val="00622CA9"/>
    <w:rsid w:val="00622EC0"/>
    <w:rsid w:val="00623B0F"/>
    <w:rsid w:val="00630354"/>
    <w:rsid w:val="00630942"/>
    <w:rsid w:val="00643F13"/>
    <w:rsid w:val="00646AC8"/>
    <w:rsid w:val="0064705A"/>
    <w:rsid w:val="00650211"/>
    <w:rsid w:val="00650D76"/>
    <w:rsid w:val="00651B38"/>
    <w:rsid w:val="00651F20"/>
    <w:rsid w:val="00652A1F"/>
    <w:rsid w:val="00654CEB"/>
    <w:rsid w:val="00656A5A"/>
    <w:rsid w:val="00656F9D"/>
    <w:rsid w:val="0065757E"/>
    <w:rsid w:val="006602BC"/>
    <w:rsid w:val="00671A97"/>
    <w:rsid w:val="006721AB"/>
    <w:rsid w:val="00677E6B"/>
    <w:rsid w:val="00681050"/>
    <w:rsid w:val="006851E8"/>
    <w:rsid w:val="00693D47"/>
    <w:rsid w:val="00695113"/>
    <w:rsid w:val="0069633D"/>
    <w:rsid w:val="006969BC"/>
    <w:rsid w:val="006A1487"/>
    <w:rsid w:val="006A3228"/>
    <w:rsid w:val="006A3CE2"/>
    <w:rsid w:val="006A51FD"/>
    <w:rsid w:val="006A7C3D"/>
    <w:rsid w:val="006B002B"/>
    <w:rsid w:val="006B0239"/>
    <w:rsid w:val="006B2463"/>
    <w:rsid w:val="006B585D"/>
    <w:rsid w:val="006B5DC4"/>
    <w:rsid w:val="006B69C7"/>
    <w:rsid w:val="006B6C26"/>
    <w:rsid w:val="006B7AAE"/>
    <w:rsid w:val="006C2C64"/>
    <w:rsid w:val="006C3E6A"/>
    <w:rsid w:val="006C62A2"/>
    <w:rsid w:val="006C6F0A"/>
    <w:rsid w:val="006E0E21"/>
    <w:rsid w:val="006E3629"/>
    <w:rsid w:val="006E4827"/>
    <w:rsid w:val="006F19B6"/>
    <w:rsid w:val="007024F2"/>
    <w:rsid w:val="00704374"/>
    <w:rsid w:val="007106C6"/>
    <w:rsid w:val="00711E00"/>
    <w:rsid w:val="00713441"/>
    <w:rsid w:val="007221E0"/>
    <w:rsid w:val="007246F2"/>
    <w:rsid w:val="00724E13"/>
    <w:rsid w:val="007302F7"/>
    <w:rsid w:val="007320B0"/>
    <w:rsid w:val="007333C4"/>
    <w:rsid w:val="00736C9A"/>
    <w:rsid w:val="00740982"/>
    <w:rsid w:val="00741655"/>
    <w:rsid w:val="00742D8B"/>
    <w:rsid w:val="00744AEB"/>
    <w:rsid w:val="0074714D"/>
    <w:rsid w:val="0075090A"/>
    <w:rsid w:val="007513D1"/>
    <w:rsid w:val="00751858"/>
    <w:rsid w:val="00755D48"/>
    <w:rsid w:val="00756A8B"/>
    <w:rsid w:val="00760E53"/>
    <w:rsid w:val="00761331"/>
    <w:rsid w:val="0076383B"/>
    <w:rsid w:val="00764F14"/>
    <w:rsid w:val="00767CB0"/>
    <w:rsid w:val="007733D1"/>
    <w:rsid w:val="00777168"/>
    <w:rsid w:val="00777FAD"/>
    <w:rsid w:val="0078204F"/>
    <w:rsid w:val="007871B1"/>
    <w:rsid w:val="00787994"/>
    <w:rsid w:val="007966E9"/>
    <w:rsid w:val="007A07F8"/>
    <w:rsid w:val="007A15FC"/>
    <w:rsid w:val="007A2AC6"/>
    <w:rsid w:val="007A3621"/>
    <w:rsid w:val="007A5632"/>
    <w:rsid w:val="007A6BF6"/>
    <w:rsid w:val="007A7F62"/>
    <w:rsid w:val="007B2064"/>
    <w:rsid w:val="007B2476"/>
    <w:rsid w:val="007B3FB1"/>
    <w:rsid w:val="007B4BB3"/>
    <w:rsid w:val="007B4F9F"/>
    <w:rsid w:val="007B5E3B"/>
    <w:rsid w:val="007C1024"/>
    <w:rsid w:val="007C2715"/>
    <w:rsid w:val="007C34DE"/>
    <w:rsid w:val="007C35B8"/>
    <w:rsid w:val="007C37FC"/>
    <w:rsid w:val="007C47E0"/>
    <w:rsid w:val="007D1DE4"/>
    <w:rsid w:val="007D2523"/>
    <w:rsid w:val="007D4173"/>
    <w:rsid w:val="007E3A2F"/>
    <w:rsid w:val="007E409C"/>
    <w:rsid w:val="007E5F0D"/>
    <w:rsid w:val="007F1EF3"/>
    <w:rsid w:val="007F32D7"/>
    <w:rsid w:val="007F5496"/>
    <w:rsid w:val="007F6664"/>
    <w:rsid w:val="007F7327"/>
    <w:rsid w:val="007F7BED"/>
    <w:rsid w:val="00800875"/>
    <w:rsid w:val="00803C15"/>
    <w:rsid w:val="00804943"/>
    <w:rsid w:val="00805304"/>
    <w:rsid w:val="008064F9"/>
    <w:rsid w:val="008066B2"/>
    <w:rsid w:val="008074B6"/>
    <w:rsid w:val="00811435"/>
    <w:rsid w:val="0081381E"/>
    <w:rsid w:val="00813D43"/>
    <w:rsid w:val="008146F7"/>
    <w:rsid w:val="00816F3A"/>
    <w:rsid w:val="00820758"/>
    <w:rsid w:val="00821017"/>
    <w:rsid w:val="0082155F"/>
    <w:rsid w:val="008244FC"/>
    <w:rsid w:val="008248B0"/>
    <w:rsid w:val="008344A1"/>
    <w:rsid w:val="00835E66"/>
    <w:rsid w:val="0084085B"/>
    <w:rsid w:val="008445AC"/>
    <w:rsid w:val="0084696A"/>
    <w:rsid w:val="0084794E"/>
    <w:rsid w:val="00853988"/>
    <w:rsid w:val="00854195"/>
    <w:rsid w:val="0085596F"/>
    <w:rsid w:val="00856AE1"/>
    <w:rsid w:val="00857149"/>
    <w:rsid w:val="008623F8"/>
    <w:rsid w:val="00864664"/>
    <w:rsid w:val="00866455"/>
    <w:rsid w:val="00866788"/>
    <w:rsid w:val="008674BC"/>
    <w:rsid w:val="0087256B"/>
    <w:rsid w:val="00874181"/>
    <w:rsid w:val="00874F70"/>
    <w:rsid w:val="00881C9C"/>
    <w:rsid w:val="00883A25"/>
    <w:rsid w:val="00884E49"/>
    <w:rsid w:val="0088676A"/>
    <w:rsid w:val="00890058"/>
    <w:rsid w:val="00891827"/>
    <w:rsid w:val="00892933"/>
    <w:rsid w:val="00893A98"/>
    <w:rsid w:val="008975A7"/>
    <w:rsid w:val="00897D7E"/>
    <w:rsid w:val="008A1C30"/>
    <w:rsid w:val="008A4764"/>
    <w:rsid w:val="008A4E7F"/>
    <w:rsid w:val="008A6049"/>
    <w:rsid w:val="008A6393"/>
    <w:rsid w:val="008A685F"/>
    <w:rsid w:val="008C0831"/>
    <w:rsid w:val="008C09D9"/>
    <w:rsid w:val="008C1600"/>
    <w:rsid w:val="008C1663"/>
    <w:rsid w:val="008C36AD"/>
    <w:rsid w:val="008C3CBD"/>
    <w:rsid w:val="008C4607"/>
    <w:rsid w:val="008D013A"/>
    <w:rsid w:val="008D0B6A"/>
    <w:rsid w:val="008D10AE"/>
    <w:rsid w:val="008D377A"/>
    <w:rsid w:val="008D5217"/>
    <w:rsid w:val="008D7C80"/>
    <w:rsid w:val="008E1157"/>
    <w:rsid w:val="008E3DFD"/>
    <w:rsid w:val="008E4695"/>
    <w:rsid w:val="008E4894"/>
    <w:rsid w:val="008E513F"/>
    <w:rsid w:val="008E60D1"/>
    <w:rsid w:val="008F2E52"/>
    <w:rsid w:val="008F4DD7"/>
    <w:rsid w:val="0090181F"/>
    <w:rsid w:val="0090223E"/>
    <w:rsid w:val="00905392"/>
    <w:rsid w:val="0090685F"/>
    <w:rsid w:val="0091535E"/>
    <w:rsid w:val="00915A16"/>
    <w:rsid w:val="00920003"/>
    <w:rsid w:val="0092008C"/>
    <w:rsid w:val="00920920"/>
    <w:rsid w:val="0092138F"/>
    <w:rsid w:val="00921D20"/>
    <w:rsid w:val="00922069"/>
    <w:rsid w:val="0092728F"/>
    <w:rsid w:val="009276B6"/>
    <w:rsid w:val="0093000D"/>
    <w:rsid w:val="0093074F"/>
    <w:rsid w:val="009333F6"/>
    <w:rsid w:val="00937C71"/>
    <w:rsid w:val="00942EEB"/>
    <w:rsid w:val="00947A3B"/>
    <w:rsid w:val="00951493"/>
    <w:rsid w:val="0095210E"/>
    <w:rsid w:val="009549A7"/>
    <w:rsid w:val="00954C28"/>
    <w:rsid w:val="0095562F"/>
    <w:rsid w:val="00955E62"/>
    <w:rsid w:val="0096052E"/>
    <w:rsid w:val="00961E82"/>
    <w:rsid w:val="00962AF3"/>
    <w:rsid w:val="009650E0"/>
    <w:rsid w:val="00966400"/>
    <w:rsid w:val="0096706B"/>
    <w:rsid w:val="00972EFB"/>
    <w:rsid w:val="009731C8"/>
    <w:rsid w:val="009748BE"/>
    <w:rsid w:val="009764D0"/>
    <w:rsid w:val="0097706A"/>
    <w:rsid w:val="009778DC"/>
    <w:rsid w:val="009836A1"/>
    <w:rsid w:val="009836E9"/>
    <w:rsid w:val="0098390E"/>
    <w:rsid w:val="00987B30"/>
    <w:rsid w:val="00987DC8"/>
    <w:rsid w:val="009A0E54"/>
    <w:rsid w:val="009A5461"/>
    <w:rsid w:val="009A7741"/>
    <w:rsid w:val="009B1F63"/>
    <w:rsid w:val="009B3CBD"/>
    <w:rsid w:val="009B5E17"/>
    <w:rsid w:val="009C094C"/>
    <w:rsid w:val="009D33CF"/>
    <w:rsid w:val="009D3950"/>
    <w:rsid w:val="009D40C6"/>
    <w:rsid w:val="009D48FD"/>
    <w:rsid w:val="009D651B"/>
    <w:rsid w:val="009D7944"/>
    <w:rsid w:val="009E3B52"/>
    <w:rsid w:val="009F088D"/>
    <w:rsid w:val="009F5070"/>
    <w:rsid w:val="00A01A30"/>
    <w:rsid w:val="00A02B1C"/>
    <w:rsid w:val="00A03A65"/>
    <w:rsid w:val="00A0516E"/>
    <w:rsid w:val="00A07B4F"/>
    <w:rsid w:val="00A10FBA"/>
    <w:rsid w:val="00A110F0"/>
    <w:rsid w:val="00A1306D"/>
    <w:rsid w:val="00A16BBA"/>
    <w:rsid w:val="00A175C8"/>
    <w:rsid w:val="00A2086A"/>
    <w:rsid w:val="00A2371E"/>
    <w:rsid w:val="00A30B13"/>
    <w:rsid w:val="00A320FA"/>
    <w:rsid w:val="00A33056"/>
    <w:rsid w:val="00A33B82"/>
    <w:rsid w:val="00A33C37"/>
    <w:rsid w:val="00A37306"/>
    <w:rsid w:val="00A419AD"/>
    <w:rsid w:val="00A479AC"/>
    <w:rsid w:val="00A47DA5"/>
    <w:rsid w:val="00A50158"/>
    <w:rsid w:val="00A51A84"/>
    <w:rsid w:val="00A539C1"/>
    <w:rsid w:val="00A5519A"/>
    <w:rsid w:val="00A56731"/>
    <w:rsid w:val="00A568E0"/>
    <w:rsid w:val="00A57A69"/>
    <w:rsid w:val="00A60BA7"/>
    <w:rsid w:val="00A61A5D"/>
    <w:rsid w:val="00A65AE8"/>
    <w:rsid w:val="00A66634"/>
    <w:rsid w:val="00A67127"/>
    <w:rsid w:val="00A67ED3"/>
    <w:rsid w:val="00A74C77"/>
    <w:rsid w:val="00A755B8"/>
    <w:rsid w:val="00A905B6"/>
    <w:rsid w:val="00A9235D"/>
    <w:rsid w:val="00A929D1"/>
    <w:rsid w:val="00A9391E"/>
    <w:rsid w:val="00A93E92"/>
    <w:rsid w:val="00AA15C0"/>
    <w:rsid w:val="00AA3700"/>
    <w:rsid w:val="00AA4AD9"/>
    <w:rsid w:val="00AA6917"/>
    <w:rsid w:val="00AA7AF8"/>
    <w:rsid w:val="00AB391E"/>
    <w:rsid w:val="00AC10E0"/>
    <w:rsid w:val="00AC6D44"/>
    <w:rsid w:val="00AC733B"/>
    <w:rsid w:val="00AD13D1"/>
    <w:rsid w:val="00AD2904"/>
    <w:rsid w:val="00AD3917"/>
    <w:rsid w:val="00AD7B2F"/>
    <w:rsid w:val="00AE01CC"/>
    <w:rsid w:val="00AE1170"/>
    <w:rsid w:val="00AE117E"/>
    <w:rsid w:val="00AE2433"/>
    <w:rsid w:val="00AE2923"/>
    <w:rsid w:val="00AE474E"/>
    <w:rsid w:val="00AE684A"/>
    <w:rsid w:val="00AF02A4"/>
    <w:rsid w:val="00AF04CA"/>
    <w:rsid w:val="00AF06FB"/>
    <w:rsid w:val="00AF6F8F"/>
    <w:rsid w:val="00B011C9"/>
    <w:rsid w:val="00B0636E"/>
    <w:rsid w:val="00B13B7B"/>
    <w:rsid w:val="00B1621D"/>
    <w:rsid w:val="00B16B99"/>
    <w:rsid w:val="00B179EF"/>
    <w:rsid w:val="00B20246"/>
    <w:rsid w:val="00B22835"/>
    <w:rsid w:val="00B23225"/>
    <w:rsid w:val="00B2676F"/>
    <w:rsid w:val="00B267CE"/>
    <w:rsid w:val="00B2704A"/>
    <w:rsid w:val="00B323C6"/>
    <w:rsid w:val="00B337DE"/>
    <w:rsid w:val="00B34464"/>
    <w:rsid w:val="00B35541"/>
    <w:rsid w:val="00B41032"/>
    <w:rsid w:val="00B41B18"/>
    <w:rsid w:val="00B42B56"/>
    <w:rsid w:val="00B43345"/>
    <w:rsid w:val="00B46B11"/>
    <w:rsid w:val="00B4701C"/>
    <w:rsid w:val="00B47C1E"/>
    <w:rsid w:val="00B53074"/>
    <w:rsid w:val="00B53A84"/>
    <w:rsid w:val="00B565A3"/>
    <w:rsid w:val="00B57228"/>
    <w:rsid w:val="00B61029"/>
    <w:rsid w:val="00B6372A"/>
    <w:rsid w:val="00B66E85"/>
    <w:rsid w:val="00B66F2A"/>
    <w:rsid w:val="00B80794"/>
    <w:rsid w:val="00B81876"/>
    <w:rsid w:val="00B83FE7"/>
    <w:rsid w:val="00B92019"/>
    <w:rsid w:val="00B92236"/>
    <w:rsid w:val="00B95483"/>
    <w:rsid w:val="00B9563C"/>
    <w:rsid w:val="00BA024E"/>
    <w:rsid w:val="00BA0DA8"/>
    <w:rsid w:val="00BA2123"/>
    <w:rsid w:val="00BA31ED"/>
    <w:rsid w:val="00BA6186"/>
    <w:rsid w:val="00BB3F3A"/>
    <w:rsid w:val="00BC029A"/>
    <w:rsid w:val="00BC105D"/>
    <w:rsid w:val="00BC4398"/>
    <w:rsid w:val="00BC52A3"/>
    <w:rsid w:val="00BC58D0"/>
    <w:rsid w:val="00BD3513"/>
    <w:rsid w:val="00BF5968"/>
    <w:rsid w:val="00BF7CD0"/>
    <w:rsid w:val="00C0309D"/>
    <w:rsid w:val="00C03A69"/>
    <w:rsid w:val="00C049CD"/>
    <w:rsid w:val="00C07B93"/>
    <w:rsid w:val="00C17609"/>
    <w:rsid w:val="00C22530"/>
    <w:rsid w:val="00C25094"/>
    <w:rsid w:val="00C26BD9"/>
    <w:rsid w:val="00C27393"/>
    <w:rsid w:val="00C3451A"/>
    <w:rsid w:val="00C350FC"/>
    <w:rsid w:val="00C41E93"/>
    <w:rsid w:val="00C42854"/>
    <w:rsid w:val="00C43C2F"/>
    <w:rsid w:val="00C4481A"/>
    <w:rsid w:val="00C4508B"/>
    <w:rsid w:val="00C539F2"/>
    <w:rsid w:val="00C5433F"/>
    <w:rsid w:val="00C54643"/>
    <w:rsid w:val="00C54EFD"/>
    <w:rsid w:val="00C55B76"/>
    <w:rsid w:val="00C572ED"/>
    <w:rsid w:val="00C64A2D"/>
    <w:rsid w:val="00C7120C"/>
    <w:rsid w:val="00C735C0"/>
    <w:rsid w:val="00C73A7B"/>
    <w:rsid w:val="00C81086"/>
    <w:rsid w:val="00C82A3C"/>
    <w:rsid w:val="00C82BC2"/>
    <w:rsid w:val="00C935E6"/>
    <w:rsid w:val="00C94C7A"/>
    <w:rsid w:val="00C96FB1"/>
    <w:rsid w:val="00C97BD3"/>
    <w:rsid w:val="00CA0312"/>
    <w:rsid w:val="00CA2FCB"/>
    <w:rsid w:val="00CA5850"/>
    <w:rsid w:val="00CB32B7"/>
    <w:rsid w:val="00CB3C94"/>
    <w:rsid w:val="00CB59C8"/>
    <w:rsid w:val="00CB708E"/>
    <w:rsid w:val="00CB7A1D"/>
    <w:rsid w:val="00CC0430"/>
    <w:rsid w:val="00CC04EF"/>
    <w:rsid w:val="00CC0B7F"/>
    <w:rsid w:val="00CC1DC3"/>
    <w:rsid w:val="00CC541D"/>
    <w:rsid w:val="00CC67DC"/>
    <w:rsid w:val="00CD4C63"/>
    <w:rsid w:val="00CD7A64"/>
    <w:rsid w:val="00CF01D0"/>
    <w:rsid w:val="00CF022E"/>
    <w:rsid w:val="00D00B0A"/>
    <w:rsid w:val="00D06ED4"/>
    <w:rsid w:val="00D105DA"/>
    <w:rsid w:val="00D13A41"/>
    <w:rsid w:val="00D14A10"/>
    <w:rsid w:val="00D1522F"/>
    <w:rsid w:val="00D20521"/>
    <w:rsid w:val="00D20CDB"/>
    <w:rsid w:val="00D235B9"/>
    <w:rsid w:val="00D300DB"/>
    <w:rsid w:val="00D331EF"/>
    <w:rsid w:val="00D33330"/>
    <w:rsid w:val="00D34B50"/>
    <w:rsid w:val="00D37AB8"/>
    <w:rsid w:val="00D42A4B"/>
    <w:rsid w:val="00D442DF"/>
    <w:rsid w:val="00D4647F"/>
    <w:rsid w:val="00D472E2"/>
    <w:rsid w:val="00D47742"/>
    <w:rsid w:val="00D55163"/>
    <w:rsid w:val="00D62F54"/>
    <w:rsid w:val="00D65E3D"/>
    <w:rsid w:val="00D66014"/>
    <w:rsid w:val="00D6729D"/>
    <w:rsid w:val="00D673CE"/>
    <w:rsid w:val="00D81614"/>
    <w:rsid w:val="00D81F9B"/>
    <w:rsid w:val="00D822ED"/>
    <w:rsid w:val="00D82CBF"/>
    <w:rsid w:val="00D85360"/>
    <w:rsid w:val="00D85414"/>
    <w:rsid w:val="00D90414"/>
    <w:rsid w:val="00D91911"/>
    <w:rsid w:val="00D92C57"/>
    <w:rsid w:val="00D95284"/>
    <w:rsid w:val="00DA2F02"/>
    <w:rsid w:val="00DA3CB6"/>
    <w:rsid w:val="00DA5C3E"/>
    <w:rsid w:val="00DA6D12"/>
    <w:rsid w:val="00DB35A3"/>
    <w:rsid w:val="00DC65E5"/>
    <w:rsid w:val="00DC76FE"/>
    <w:rsid w:val="00DD0285"/>
    <w:rsid w:val="00DD1DE3"/>
    <w:rsid w:val="00DD49BE"/>
    <w:rsid w:val="00DD6056"/>
    <w:rsid w:val="00DE0806"/>
    <w:rsid w:val="00DE0A63"/>
    <w:rsid w:val="00DE1C4C"/>
    <w:rsid w:val="00DE70D3"/>
    <w:rsid w:val="00DE7B0A"/>
    <w:rsid w:val="00DF4918"/>
    <w:rsid w:val="00DF4B13"/>
    <w:rsid w:val="00DF5565"/>
    <w:rsid w:val="00DF7327"/>
    <w:rsid w:val="00E01286"/>
    <w:rsid w:val="00E013F2"/>
    <w:rsid w:val="00E03DDF"/>
    <w:rsid w:val="00E070E4"/>
    <w:rsid w:val="00E106D9"/>
    <w:rsid w:val="00E10708"/>
    <w:rsid w:val="00E159CA"/>
    <w:rsid w:val="00E15A87"/>
    <w:rsid w:val="00E17592"/>
    <w:rsid w:val="00E20308"/>
    <w:rsid w:val="00E21156"/>
    <w:rsid w:val="00E21567"/>
    <w:rsid w:val="00E270D7"/>
    <w:rsid w:val="00E31F56"/>
    <w:rsid w:val="00E32C45"/>
    <w:rsid w:val="00E33C57"/>
    <w:rsid w:val="00E36008"/>
    <w:rsid w:val="00E43089"/>
    <w:rsid w:val="00E4425A"/>
    <w:rsid w:val="00E45540"/>
    <w:rsid w:val="00E50A1B"/>
    <w:rsid w:val="00E530CD"/>
    <w:rsid w:val="00E53CB0"/>
    <w:rsid w:val="00E56AF7"/>
    <w:rsid w:val="00E61E4B"/>
    <w:rsid w:val="00E62076"/>
    <w:rsid w:val="00E63532"/>
    <w:rsid w:val="00E67D1D"/>
    <w:rsid w:val="00E7335A"/>
    <w:rsid w:val="00E74DF7"/>
    <w:rsid w:val="00E81E4F"/>
    <w:rsid w:val="00E820EB"/>
    <w:rsid w:val="00E823ED"/>
    <w:rsid w:val="00E8249D"/>
    <w:rsid w:val="00E83266"/>
    <w:rsid w:val="00E913A8"/>
    <w:rsid w:val="00E929FB"/>
    <w:rsid w:val="00E92CD8"/>
    <w:rsid w:val="00EA2622"/>
    <w:rsid w:val="00EA6C4E"/>
    <w:rsid w:val="00EB13DD"/>
    <w:rsid w:val="00EB4711"/>
    <w:rsid w:val="00EB5474"/>
    <w:rsid w:val="00EB62D4"/>
    <w:rsid w:val="00EC070B"/>
    <w:rsid w:val="00EC2CDE"/>
    <w:rsid w:val="00EC6C85"/>
    <w:rsid w:val="00ED06FA"/>
    <w:rsid w:val="00ED211F"/>
    <w:rsid w:val="00EE0F6B"/>
    <w:rsid w:val="00EE1B39"/>
    <w:rsid w:val="00EE2A02"/>
    <w:rsid w:val="00EE5466"/>
    <w:rsid w:val="00EE59D6"/>
    <w:rsid w:val="00EF04A8"/>
    <w:rsid w:val="00EF2825"/>
    <w:rsid w:val="00EF28B1"/>
    <w:rsid w:val="00EF48D1"/>
    <w:rsid w:val="00F135C9"/>
    <w:rsid w:val="00F13C91"/>
    <w:rsid w:val="00F14963"/>
    <w:rsid w:val="00F1625C"/>
    <w:rsid w:val="00F17448"/>
    <w:rsid w:val="00F22681"/>
    <w:rsid w:val="00F23381"/>
    <w:rsid w:val="00F25474"/>
    <w:rsid w:val="00F256D4"/>
    <w:rsid w:val="00F25C0B"/>
    <w:rsid w:val="00F27B4B"/>
    <w:rsid w:val="00F36291"/>
    <w:rsid w:val="00F37E5F"/>
    <w:rsid w:val="00F40E52"/>
    <w:rsid w:val="00F45D1B"/>
    <w:rsid w:val="00F64BA8"/>
    <w:rsid w:val="00F64EEA"/>
    <w:rsid w:val="00F65115"/>
    <w:rsid w:val="00F66BB7"/>
    <w:rsid w:val="00F66F55"/>
    <w:rsid w:val="00F67450"/>
    <w:rsid w:val="00F735D5"/>
    <w:rsid w:val="00F746F2"/>
    <w:rsid w:val="00F82C84"/>
    <w:rsid w:val="00F85C24"/>
    <w:rsid w:val="00F90157"/>
    <w:rsid w:val="00F9065E"/>
    <w:rsid w:val="00F92D29"/>
    <w:rsid w:val="00F93633"/>
    <w:rsid w:val="00F95581"/>
    <w:rsid w:val="00F95C03"/>
    <w:rsid w:val="00F95E89"/>
    <w:rsid w:val="00FA0ACF"/>
    <w:rsid w:val="00FA1C32"/>
    <w:rsid w:val="00FA26FD"/>
    <w:rsid w:val="00FA2854"/>
    <w:rsid w:val="00FA2D1D"/>
    <w:rsid w:val="00FA3C59"/>
    <w:rsid w:val="00FA4762"/>
    <w:rsid w:val="00FB17C0"/>
    <w:rsid w:val="00FB243E"/>
    <w:rsid w:val="00FB51D2"/>
    <w:rsid w:val="00FB5B52"/>
    <w:rsid w:val="00FB6E58"/>
    <w:rsid w:val="00FC0222"/>
    <w:rsid w:val="00FC6464"/>
    <w:rsid w:val="00FC7F59"/>
    <w:rsid w:val="00FD1E03"/>
    <w:rsid w:val="00FD56F1"/>
    <w:rsid w:val="00FE595D"/>
    <w:rsid w:val="00FE65A7"/>
    <w:rsid w:val="00FE794F"/>
    <w:rsid w:val="00FF38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D98164A"/>
  <w15:chartTrackingRefBased/>
  <w15:docId w15:val="{7B55F183-9339-4499-9821-95B04366A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1F1CF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F1CF3"/>
    <w:rPr>
      <w:sz w:val="20"/>
      <w:szCs w:val="20"/>
    </w:rPr>
  </w:style>
  <w:style w:type="character" w:styleId="Refdenotaalpie">
    <w:name w:val="footnote reference"/>
    <w:basedOn w:val="Fuentedeprrafopredeter"/>
    <w:uiPriority w:val="99"/>
    <w:semiHidden/>
    <w:unhideWhenUsed/>
    <w:rsid w:val="001F1CF3"/>
    <w:rPr>
      <w:vertAlign w:val="superscript"/>
    </w:rPr>
  </w:style>
  <w:style w:type="paragraph" w:styleId="Prrafodelista">
    <w:name w:val="List Paragraph"/>
    <w:basedOn w:val="Normal"/>
    <w:uiPriority w:val="34"/>
    <w:qFormat/>
    <w:rsid w:val="001F1CF3"/>
    <w:pPr>
      <w:ind w:left="720"/>
      <w:contextualSpacing/>
    </w:pPr>
  </w:style>
  <w:style w:type="table" w:styleId="Tablaconcuadrcula">
    <w:name w:val="Table Grid"/>
    <w:basedOn w:val="Tablanormal"/>
    <w:uiPriority w:val="39"/>
    <w:rsid w:val="001F1C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654CE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54CEB"/>
    <w:rPr>
      <w:sz w:val="20"/>
      <w:szCs w:val="20"/>
    </w:rPr>
  </w:style>
  <w:style w:type="character" w:styleId="Refdecomentario">
    <w:name w:val="annotation reference"/>
    <w:basedOn w:val="Fuentedeprrafopredeter"/>
    <w:uiPriority w:val="99"/>
    <w:semiHidden/>
    <w:unhideWhenUsed/>
    <w:rsid w:val="00654CEB"/>
    <w:rPr>
      <w:sz w:val="16"/>
      <w:szCs w:val="16"/>
    </w:rPr>
  </w:style>
  <w:style w:type="paragraph" w:styleId="Textodeglobo">
    <w:name w:val="Balloon Text"/>
    <w:basedOn w:val="Normal"/>
    <w:link w:val="TextodegloboCar"/>
    <w:uiPriority w:val="99"/>
    <w:semiHidden/>
    <w:unhideWhenUsed/>
    <w:rsid w:val="00654CE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54CEB"/>
    <w:rPr>
      <w:rFonts w:ascii="Segoe UI" w:hAnsi="Segoe UI" w:cs="Segoe UI"/>
      <w:sz w:val="18"/>
      <w:szCs w:val="18"/>
    </w:rPr>
  </w:style>
  <w:style w:type="paragraph" w:customStyle="1" w:styleId="Default">
    <w:name w:val="Default"/>
    <w:rsid w:val="00654CEB"/>
    <w:pPr>
      <w:autoSpaceDE w:val="0"/>
      <w:autoSpaceDN w:val="0"/>
      <w:adjustRightInd w:val="0"/>
      <w:spacing w:after="0" w:line="240" w:lineRule="auto"/>
    </w:pPr>
    <w:rPr>
      <w:rFonts w:ascii="Trebuchet MS" w:hAnsi="Trebuchet MS" w:cs="Trebuchet MS"/>
      <w:color w:val="000000"/>
      <w:sz w:val="24"/>
      <w:szCs w:val="24"/>
    </w:rPr>
  </w:style>
  <w:style w:type="paragraph" w:styleId="Encabezado">
    <w:name w:val="header"/>
    <w:basedOn w:val="Normal"/>
    <w:link w:val="EncabezadoCar"/>
    <w:uiPriority w:val="99"/>
    <w:unhideWhenUsed/>
    <w:rsid w:val="00813D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3D43"/>
  </w:style>
  <w:style w:type="paragraph" w:styleId="Piedepgina">
    <w:name w:val="footer"/>
    <w:basedOn w:val="Normal"/>
    <w:link w:val="PiedepginaCar"/>
    <w:uiPriority w:val="99"/>
    <w:unhideWhenUsed/>
    <w:rsid w:val="00813D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3D43"/>
  </w:style>
  <w:style w:type="paragraph" w:styleId="Asuntodelcomentario">
    <w:name w:val="annotation subject"/>
    <w:basedOn w:val="Textocomentario"/>
    <w:next w:val="Textocomentario"/>
    <w:link w:val="AsuntodelcomentarioCar"/>
    <w:uiPriority w:val="99"/>
    <w:semiHidden/>
    <w:unhideWhenUsed/>
    <w:rsid w:val="00A929D1"/>
    <w:rPr>
      <w:b/>
      <w:bCs/>
    </w:rPr>
  </w:style>
  <w:style w:type="character" w:customStyle="1" w:styleId="AsuntodelcomentarioCar">
    <w:name w:val="Asunto del comentario Car"/>
    <w:basedOn w:val="TextocomentarioCar"/>
    <w:link w:val="Asuntodelcomentario"/>
    <w:uiPriority w:val="99"/>
    <w:semiHidden/>
    <w:rsid w:val="00A929D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46958">
      <w:bodyDiv w:val="1"/>
      <w:marLeft w:val="0"/>
      <w:marRight w:val="0"/>
      <w:marTop w:val="0"/>
      <w:marBottom w:val="0"/>
      <w:divBdr>
        <w:top w:val="none" w:sz="0" w:space="0" w:color="auto"/>
        <w:left w:val="none" w:sz="0" w:space="0" w:color="auto"/>
        <w:bottom w:val="none" w:sz="0" w:space="0" w:color="auto"/>
        <w:right w:val="none" w:sz="0" w:space="0" w:color="auto"/>
      </w:divBdr>
    </w:div>
    <w:div w:id="36438107">
      <w:bodyDiv w:val="1"/>
      <w:marLeft w:val="0"/>
      <w:marRight w:val="0"/>
      <w:marTop w:val="0"/>
      <w:marBottom w:val="0"/>
      <w:divBdr>
        <w:top w:val="none" w:sz="0" w:space="0" w:color="auto"/>
        <w:left w:val="none" w:sz="0" w:space="0" w:color="auto"/>
        <w:bottom w:val="none" w:sz="0" w:space="0" w:color="auto"/>
        <w:right w:val="none" w:sz="0" w:space="0" w:color="auto"/>
      </w:divBdr>
    </w:div>
    <w:div w:id="87508940">
      <w:bodyDiv w:val="1"/>
      <w:marLeft w:val="0"/>
      <w:marRight w:val="0"/>
      <w:marTop w:val="0"/>
      <w:marBottom w:val="0"/>
      <w:divBdr>
        <w:top w:val="none" w:sz="0" w:space="0" w:color="auto"/>
        <w:left w:val="none" w:sz="0" w:space="0" w:color="auto"/>
        <w:bottom w:val="none" w:sz="0" w:space="0" w:color="auto"/>
        <w:right w:val="none" w:sz="0" w:space="0" w:color="auto"/>
      </w:divBdr>
    </w:div>
    <w:div w:id="91554524">
      <w:bodyDiv w:val="1"/>
      <w:marLeft w:val="0"/>
      <w:marRight w:val="0"/>
      <w:marTop w:val="0"/>
      <w:marBottom w:val="0"/>
      <w:divBdr>
        <w:top w:val="none" w:sz="0" w:space="0" w:color="auto"/>
        <w:left w:val="none" w:sz="0" w:space="0" w:color="auto"/>
        <w:bottom w:val="none" w:sz="0" w:space="0" w:color="auto"/>
        <w:right w:val="none" w:sz="0" w:space="0" w:color="auto"/>
      </w:divBdr>
    </w:div>
    <w:div w:id="152260913">
      <w:bodyDiv w:val="1"/>
      <w:marLeft w:val="0"/>
      <w:marRight w:val="0"/>
      <w:marTop w:val="0"/>
      <w:marBottom w:val="0"/>
      <w:divBdr>
        <w:top w:val="none" w:sz="0" w:space="0" w:color="auto"/>
        <w:left w:val="none" w:sz="0" w:space="0" w:color="auto"/>
        <w:bottom w:val="none" w:sz="0" w:space="0" w:color="auto"/>
        <w:right w:val="none" w:sz="0" w:space="0" w:color="auto"/>
      </w:divBdr>
    </w:div>
    <w:div w:id="259412121">
      <w:bodyDiv w:val="1"/>
      <w:marLeft w:val="0"/>
      <w:marRight w:val="0"/>
      <w:marTop w:val="0"/>
      <w:marBottom w:val="0"/>
      <w:divBdr>
        <w:top w:val="none" w:sz="0" w:space="0" w:color="auto"/>
        <w:left w:val="none" w:sz="0" w:space="0" w:color="auto"/>
        <w:bottom w:val="none" w:sz="0" w:space="0" w:color="auto"/>
        <w:right w:val="none" w:sz="0" w:space="0" w:color="auto"/>
      </w:divBdr>
    </w:div>
    <w:div w:id="270741256">
      <w:bodyDiv w:val="1"/>
      <w:marLeft w:val="0"/>
      <w:marRight w:val="0"/>
      <w:marTop w:val="0"/>
      <w:marBottom w:val="0"/>
      <w:divBdr>
        <w:top w:val="none" w:sz="0" w:space="0" w:color="auto"/>
        <w:left w:val="none" w:sz="0" w:space="0" w:color="auto"/>
        <w:bottom w:val="none" w:sz="0" w:space="0" w:color="auto"/>
        <w:right w:val="none" w:sz="0" w:space="0" w:color="auto"/>
      </w:divBdr>
    </w:div>
    <w:div w:id="338896895">
      <w:bodyDiv w:val="1"/>
      <w:marLeft w:val="0"/>
      <w:marRight w:val="0"/>
      <w:marTop w:val="0"/>
      <w:marBottom w:val="0"/>
      <w:divBdr>
        <w:top w:val="none" w:sz="0" w:space="0" w:color="auto"/>
        <w:left w:val="none" w:sz="0" w:space="0" w:color="auto"/>
        <w:bottom w:val="none" w:sz="0" w:space="0" w:color="auto"/>
        <w:right w:val="none" w:sz="0" w:space="0" w:color="auto"/>
      </w:divBdr>
    </w:div>
    <w:div w:id="352462277">
      <w:bodyDiv w:val="1"/>
      <w:marLeft w:val="0"/>
      <w:marRight w:val="0"/>
      <w:marTop w:val="0"/>
      <w:marBottom w:val="0"/>
      <w:divBdr>
        <w:top w:val="none" w:sz="0" w:space="0" w:color="auto"/>
        <w:left w:val="none" w:sz="0" w:space="0" w:color="auto"/>
        <w:bottom w:val="none" w:sz="0" w:space="0" w:color="auto"/>
        <w:right w:val="none" w:sz="0" w:space="0" w:color="auto"/>
      </w:divBdr>
    </w:div>
    <w:div w:id="353851977">
      <w:bodyDiv w:val="1"/>
      <w:marLeft w:val="0"/>
      <w:marRight w:val="0"/>
      <w:marTop w:val="0"/>
      <w:marBottom w:val="0"/>
      <w:divBdr>
        <w:top w:val="none" w:sz="0" w:space="0" w:color="auto"/>
        <w:left w:val="none" w:sz="0" w:space="0" w:color="auto"/>
        <w:bottom w:val="none" w:sz="0" w:space="0" w:color="auto"/>
        <w:right w:val="none" w:sz="0" w:space="0" w:color="auto"/>
      </w:divBdr>
    </w:div>
    <w:div w:id="371275314">
      <w:bodyDiv w:val="1"/>
      <w:marLeft w:val="0"/>
      <w:marRight w:val="0"/>
      <w:marTop w:val="0"/>
      <w:marBottom w:val="0"/>
      <w:divBdr>
        <w:top w:val="none" w:sz="0" w:space="0" w:color="auto"/>
        <w:left w:val="none" w:sz="0" w:space="0" w:color="auto"/>
        <w:bottom w:val="none" w:sz="0" w:space="0" w:color="auto"/>
        <w:right w:val="none" w:sz="0" w:space="0" w:color="auto"/>
      </w:divBdr>
    </w:div>
    <w:div w:id="408306336">
      <w:bodyDiv w:val="1"/>
      <w:marLeft w:val="0"/>
      <w:marRight w:val="0"/>
      <w:marTop w:val="0"/>
      <w:marBottom w:val="0"/>
      <w:divBdr>
        <w:top w:val="none" w:sz="0" w:space="0" w:color="auto"/>
        <w:left w:val="none" w:sz="0" w:space="0" w:color="auto"/>
        <w:bottom w:val="none" w:sz="0" w:space="0" w:color="auto"/>
        <w:right w:val="none" w:sz="0" w:space="0" w:color="auto"/>
      </w:divBdr>
    </w:div>
    <w:div w:id="423498863">
      <w:bodyDiv w:val="1"/>
      <w:marLeft w:val="0"/>
      <w:marRight w:val="0"/>
      <w:marTop w:val="0"/>
      <w:marBottom w:val="0"/>
      <w:divBdr>
        <w:top w:val="none" w:sz="0" w:space="0" w:color="auto"/>
        <w:left w:val="none" w:sz="0" w:space="0" w:color="auto"/>
        <w:bottom w:val="none" w:sz="0" w:space="0" w:color="auto"/>
        <w:right w:val="none" w:sz="0" w:space="0" w:color="auto"/>
      </w:divBdr>
      <w:divsChild>
        <w:div w:id="830291362">
          <w:marLeft w:val="0"/>
          <w:marRight w:val="0"/>
          <w:marTop w:val="0"/>
          <w:marBottom w:val="0"/>
          <w:divBdr>
            <w:top w:val="none" w:sz="0" w:space="0" w:color="auto"/>
            <w:left w:val="none" w:sz="0" w:space="0" w:color="auto"/>
            <w:bottom w:val="none" w:sz="0" w:space="0" w:color="auto"/>
            <w:right w:val="none" w:sz="0" w:space="0" w:color="auto"/>
          </w:divBdr>
        </w:div>
      </w:divsChild>
    </w:div>
    <w:div w:id="542209979">
      <w:bodyDiv w:val="1"/>
      <w:marLeft w:val="0"/>
      <w:marRight w:val="0"/>
      <w:marTop w:val="0"/>
      <w:marBottom w:val="0"/>
      <w:divBdr>
        <w:top w:val="none" w:sz="0" w:space="0" w:color="auto"/>
        <w:left w:val="none" w:sz="0" w:space="0" w:color="auto"/>
        <w:bottom w:val="none" w:sz="0" w:space="0" w:color="auto"/>
        <w:right w:val="none" w:sz="0" w:space="0" w:color="auto"/>
      </w:divBdr>
    </w:div>
    <w:div w:id="542905278">
      <w:bodyDiv w:val="1"/>
      <w:marLeft w:val="0"/>
      <w:marRight w:val="0"/>
      <w:marTop w:val="0"/>
      <w:marBottom w:val="0"/>
      <w:divBdr>
        <w:top w:val="none" w:sz="0" w:space="0" w:color="auto"/>
        <w:left w:val="none" w:sz="0" w:space="0" w:color="auto"/>
        <w:bottom w:val="none" w:sz="0" w:space="0" w:color="auto"/>
        <w:right w:val="none" w:sz="0" w:space="0" w:color="auto"/>
      </w:divBdr>
    </w:div>
    <w:div w:id="558251905">
      <w:bodyDiv w:val="1"/>
      <w:marLeft w:val="0"/>
      <w:marRight w:val="0"/>
      <w:marTop w:val="0"/>
      <w:marBottom w:val="0"/>
      <w:divBdr>
        <w:top w:val="none" w:sz="0" w:space="0" w:color="auto"/>
        <w:left w:val="none" w:sz="0" w:space="0" w:color="auto"/>
        <w:bottom w:val="none" w:sz="0" w:space="0" w:color="auto"/>
        <w:right w:val="none" w:sz="0" w:space="0" w:color="auto"/>
      </w:divBdr>
    </w:div>
    <w:div w:id="574433441">
      <w:bodyDiv w:val="1"/>
      <w:marLeft w:val="0"/>
      <w:marRight w:val="0"/>
      <w:marTop w:val="0"/>
      <w:marBottom w:val="0"/>
      <w:divBdr>
        <w:top w:val="none" w:sz="0" w:space="0" w:color="auto"/>
        <w:left w:val="none" w:sz="0" w:space="0" w:color="auto"/>
        <w:bottom w:val="none" w:sz="0" w:space="0" w:color="auto"/>
        <w:right w:val="none" w:sz="0" w:space="0" w:color="auto"/>
      </w:divBdr>
    </w:div>
    <w:div w:id="594360468">
      <w:bodyDiv w:val="1"/>
      <w:marLeft w:val="0"/>
      <w:marRight w:val="0"/>
      <w:marTop w:val="0"/>
      <w:marBottom w:val="0"/>
      <w:divBdr>
        <w:top w:val="none" w:sz="0" w:space="0" w:color="auto"/>
        <w:left w:val="none" w:sz="0" w:space="0" w:color="auto"/>
        <w:bottom w:val="none" w:sz="0" w:space="0" w:color="auto"/>
        <w:right w:val="none" w:sz="0" w:space="0" w:color="auto"/>
      </w:divBdr>
    </w:div>
    <w:div w:id="637801186">
      <w:bodyDiv w:val="1"/>
      <w:marLeft w:val="0"/>
      <w:marRight w:val="0"/>
      <w:marTop w:val="0"/>
      <w:marBottom w:val="0"/>
      <w:divBdr>
        <w:top w:val="none" w:sz="0" w:space="0" w:color="auto"/>
        <w:left w:val="none" w:sz="0" w:space="0" w:color="auto"/>
        <w:bottom w:val="none" w:sz="0" w:space="0" w:color="auto"/>
        <w:right w:val="none" w:sz="0" w:space="0" w:color="auto"/>
      </w:divBdr>
    </w:div>
    <w:div w:id="724838913">
      <w:bodyDiv w:val="1"/>
      <w:marLeft w:val="0"/>
      <w:marRight w:val="0"/>
      <w:marTop w:val="0"/>
      <w:marBottom w:val="0"/>
      <w:divBdr>
        <w:top w:val="none" w:sz="0" w:space="0" w:color="auto"/>
        <w:left w:val="none" w:sz="0" w:space="0" w:color="auto"/>
        <w:bottom w:val="none" w:sz="0" w:space="0" w:color="auto"/>
        <w:right w:val="none" w:sz="0" w:space="0" w:color="auto"/>
      </w:divBdr>
    </w:div>
    <w:div w:id="743601528">
      <w:bodyDiv w:val="1"/>
      <w:marLeft w:val="0"/>
      <w:marRight w:val="0"/>
      <w:marTop w:val="0"/>
      <w:marBottom w:val="0"/>
      <w:divBdr>
        <w:top w:val="none" w:sz="0" w:space="0" w:color="auto"/>
        <w:left w:val="none" w:sz="0" w:space="0" w:color="auto"/>
        <w:bottom w:val="none" w:sz="0" w:space="0" w:color="auto"/>
        <w:right w:val="none" w:sz="0" w:space="0" w:color="auto"/>
      </w:divBdr>
    </w:div>
    <w:div w:id="744451431">
      <w:bodyDiv w:val="1"/>
      <w:marLeft w:val="0"/>
      <w:marRight w:val="0"/>
      <w:marTop w:val="0"/>
      <w:marBottom w:val="0"/>
      <w:divBdr>
        <w:top w:val="none" w:sz="0" w:space="0" w:color="auto"/>
        <w:left w:val="none" w:sz="0" w:space="0" w:color="auto"/>
        <w:bottom w:val="none" w:sz="0" w:space="0" w:color="auto"/>
        <w:right w:val="none" w:sz="0" w:space="0" w:color="auto"/>
      </w:divBdr>
    </w:div>
    <w:div w:id="756949880">
      <w:bodyDiv w:val="1"/>
      <w:marLeft w:val="0"/>
      <w:marRight w:val="0"/>
      <w:marTop w:val="0"/>
      <w:marBottom w:val="0"/>
      <w:divBdr>
        <w:top w:val="none" w:sz="0" w:space="0" w:color="auto"/>
        <w:left w:val="none" w:sz="0" w:space="0" w:color="auto"/>
        <w:bottom w:val="none" w:sz="0" w:space="0" w:color="auto"/>
        <w:right w:val="none" w:sz="0" w:space="0" w:color="auto"/>
      </w:divBdr>
    </w:div>
    <w:div w:id="783888282">
      <w:bodyDiv w:val="1"/>
      <w:marLeft w:val="0"/>
      <w:marRight w:val="0"/>
      <w:marTop w:val="0"/>
      <w:marBottom w:val="0"/>
      <w:divBdr>
        <w:top w:val="none" w:sz="0" w:space="0" w:color="auto"/>
        <w:left w:val="none" w:sz="0" w:space="0" w:color="auto"/>
        <w:bottom w:val="none" w:sz="0" w:space="0" w:color="auto"/>
        <w:right w:val="none" w:sz="0" w:space="0" w:color="auto"/>
      </w:divBdr>
    </w:div>
    <w:div w:id="797838696">
      <w:bodyDiv w:val="1"/>
      <w:marLeft w:val="0"/>
      <w:marRight w:val="0"/>
      <w:marTop w:val="0"/>
      <w:marBottom w:val="0"/>
      <w:divBdr>
        <w:top w:val="none" w:sz="0" w:space="0" w:color="auto"/>
        <w:left w:val="none" w:sz="0" w:space="0" w:color="auto"/>
        <w:bottom w:val="none" w:sz="0" w:space="0" w:color="auto"/>
        <w:right w:val="none" w:sz="0" w:space="0" w:color="auto"/>
      </w:divBdr>
    </w:div>
    <w:div w:id="827090192">
      <w:bodyDiv w:val="1"/>
      <w:marLeft w:val="0"/>
      <w:marRight w:val="0"/>
      <w:marTop w:val="0"/>
      <w:marBottom w:val="0"/>
      <w:divBdr>
        <w:top w:val="none" w:sz="0" w:space="0" w:color="auto"/>
        <w:left w:val="none" w:sz="0" w:space="0" w:color="auto"/>
        <w:bottom w:val="none" w:sz="0" w:space="0" w:color="auto"/>
        <w:right w:val="none" w:sz="0" w:space="0" w:color="auto"/>
      </w:divBdr>
    </w:div>
    <w:div w:id="850267281">
      <w:bodyDiv w:val="1"/>
      <w:marLeft w:val="0"/>
      <w:marRight w:val="0"/>
      <w:marTop w:val="0"/>
      <w:marBottom w:val="0"/>
      <w:divBdr>
        <w:top w:val="none" w:sz="0" w:space="0" w:color="auto"/>
        <w:left w:val="none" w:sz="0" w:space="0" w:color="auto"/>
        <w:bottom w:val="none" w:sz="0" w:space="0" w:color="auto"/>
        <w:right w:val="none" w:sz="0" w:space="0" w:color="auto"/>
      </w:divBdr>
    </w:div>
    <w:div w:id="874000558">
      <w:bodyDiv w:val="1"/>
      <w:marLeft w:val="0"/>
      <w:marRight w:val="0"/>
      <w:marTop w:val="0"/>
      <w:marBottom w:val="0"/>
      <w:divBdr>
        <w:top w:val="none" w:sz="0" w:space="0" w:color="auto"/>
        <w:left w:val="none" w:sz="0" w:space="0" w:color="auto"/>
        <w:bottom w:val="none" w:sz="0" w:space="0" w:color="auto"/>
        <w:right w:val="none" w:sz="0" w:space="0" w:color="auto"/>
      </w:divBdr>
    </w:div>
    <w:div w:id="914047763">
      <w:bodyDiv w:val="1"/>
      <w:marLeft w:val="0"/>
      <w:marRight w:val="0"/>
      <w:marTop w:val="0"/>
      <w:marBottom w:val="0"/>
      <w:divBdr>
        <w:top w:val="none" w:sz="0" w:space="0" w:color="auto"/>
        <w:left w:val="none" w:sz="0" w:space="0" w:color="auto"/>
        <w:bottom w:val="none" w:sz="0" w:space="0" w:color="auto"/>
        <w:right w:val="none" w:sz="0" w:space="0" w:color="auto"/>
      </w:divBdr>
    </w:div>
    <w:div w:id="960040491">
      <w:bodyDiv w:val="1"/>
      <w:marLeft w:val="0"/>
      <w:marRight w:val="0"/>
      <w:marTop w:val="0"/>
      <w:marBottom w:val="0"/>
      <w:divBdr>
        <w:top w:val="none" w:sz="0" w:space="0" w:color="auto"/>
        <w:left w:val="none" w:sz="0" w:space="0" w:color="auto"/>
        <w:bottom w:val="none" w:sz="0" w:space="0" w:color="auto"/>
        <w:right w:val="none" w:sz="0" w:space="0" w:color="auto"/>
      </w:divBdr>
    </w:div>
    <w:div w:id="988749171">
      <w:bodyDiv w:val="1"/>
      <w:marLeft w:val="0"/>
      <w:marRight w:val="0"/>
      <w:marTop w:val="0"/>
      <w:marBottom w:val="0"/>
      <w:divBdr>
        <w:top w:val="none" w:sz="0" w:space="0" w:color="auto"/>
        <w:left w:val="none" w:sz="0" w:space="0" w:color="auto"/>
        <w:bottom w:val="none" w:sz="0" w:space="0" w:color="auto"/>
        <w:right w:val="none" w:sz="0" w:space="0" w:color="auto"/>
      </w:divBdr>
    </w:div>
    <w:div w:id="1094285287">
      <w:bodyDiv w:val="1"/>
      <w:marLeft w:val="0"/>
      <w:marRight w:val="0"/>
      <w:marTop w:val="0"/>
      <w:marBottom w:val="0"/>
      <w:divBdr>
        <w:top w:val="none" w:sz="0" w:space="0" w:color="auto"/>
        <w:left w:val="none" w:sz="0" w:space="0" w:color="auto"/>
        <w:bottom w:val="none" w:sz="0" w:space="0" w:color="auto"/>
        <w:right w:val="none" w:sz="0" w:space="0" w:color="auto"/>
      </w:divBdr>
    </w:div>
    <w:div w:id="1168134850">
      <w:bodyDiv w:val="1"/>
      <w:marLeft w:val="0"/>
      <w:marRight w:val="0"/>
      <w:marTop w:val="0"/>
      <w:marBottom w:val="0"/>
      <w:divBdr>
        <w:top w:val="none" w:sz="0" w:space="0" w:color="auto"/>
        <w:left w:val="none" w:sz="0" w:space="0" w:color="auto"/>
        <w:bottom w:val="none" w:sz="0" w:space="0" w:color="auto"/>
        <w:right w:val="none" w:sz="0" w:space="0" w:color="auto"/>
      </w:divBdr>
    </w:div>
    <w:div w:id="1171139140">
      <w:bodyDiv w:val="1"/>
      <w:marLeft w:val="0"/>
      <w:marRight w:val="0"/>
      <w:marTop w:val="0"/>
      <w:marBottom w:val="0"/>
      <w:divBdr>
        <w:top w:val="none" w:sz="0" w:space="0" w:color="auto"/>
        <w:left w:val="none" w:sz="0" w:space="0" w:color="auto"/>
        <w:bottom w:val="none" w:sz="0" w:space="0" w:color="auto"/>
        <w:right w:val="none" w:sz="0" w:space="0" w:color="auto"/>
      </w:divBdr>
    </w:div>
    <w:div w:id="1204093567">
      <w:bodyDiv w:val="1"/>
      <w:marLeft w:val="0"/>
      <w:marRight w:val="0"/>
      <w:marTop w:val="0"/>
      <w:marBottom w:val="0"/>
      <w:divBdr>
        <w:top w:val="none" w:sz="0" w:space="0" w:color="auto"/>
        <w:left w:val="none" w:sz="0" w:space="0" w:color="auto"/>
        <w:bottom w:val="none" w:sz="0" w:space="0" w:color="auto"/>
        <w:right w:val="none" w:sz="0" w:space="0" w:color="auto"/>
      </w:divBdr>
    </w:div>
    <w:div w:id="1223904491">
      <w:bodyDiv w:val="1"/>
      <w:marLeft w:val="0"/>
      <w:marRight w:val="0"/>
      <w:marTop w:val="0"/>
      <w:marBottom w:val="0"/>
      <w:divBdr>
        <w:top w:val="none" w:sz="0" w:space="0" w:color="auto"/>
        <w:left w:val="none" w:sz="0" w:space="0" w:color="auto"/>
        <w:bottom w:val="none" w:sz="0" w:space="0" w:color="auto"/>
        <w:right w:val="none" w:sz="0" w:space="0" w:color="auto"/>
      </w:divBdr>
    </w:div>
    <w:div w:id="1317106322">
      <w:bodyDiv w:val="1"/>
      <w:marLeft w:val="0"/>
      <w:marRight w:val="0"/>
      <w:marTop w:val="0"/>
      <w:marBottom w:val="0"/>
      <w:divBdr>
        <w:top w:val="none" w:sz="0" w:space="0" w:color="auto"/>
        <w:left w:val="none" w:sz="0" w:space="0" w:color="auto"/>
        <w:bottom w:val="none" w:sz="0" w:space="0" w:color="auto"/>
        <w:right w:val="none" w:sz="0" w:space="0" w:color="auto"/>
      </w:divBdr>
    </w:div>
    <w:div w:id="1337684249">
      <w:bodyDiv w:val="1"/>
      <w:marLeft w:val="0"/>
      <w:marRight w:val="0"/>
      <w:marTop w:val="0"/>
      <w:marBottom w:val="0"/>
      <w:divBdr>
        <w:top w:val="none" w:sz="0" w:space="0" w:color="auto"/>
        <w:left w:val="none" w:sz="0" w:space="0" w:color="auto"/>
        <w:bottom w:val="none" w:sz="0" w:space="0" w:color="auto"/>
        <w:right w:val="none" w:sz="0" w:space="0" w:color="auto"/>
      </w:divBdr>
    </w:div>
    <w:div w:id="1391150248">
      <w:bodyDiv w:val="1"/>
      <w:marLeft w:val="0"/>
      <w:marRight w:val="0"/>
      <w:marTop w:val="0"/>
      <w:marBottom w:val="0"/>
      <w:divBdr>
        <w:top w:val="none" w:sz="0" w:space="0" w:color="auto"/>
        <w:left w:val="none" w:sz="0" w:space="0" w:color="auto"/>
        <w:bottom w:val="none" w:sz="0" w:space="0" w:color="auto"/>
        <w:right w:val="none" w:sz="0" w:space="0" w:color="auto"/>
      </w:divBdr>
    </w:div>
    <w:div w:id="1525095921">
      <w:bodyDiv w:val="1"/>
      <w:marLeft w:val="0"/>
      <w:marRight w:val="0"/>
      <w:marTop w:val="0"/>
      <w:marBottom w:val="0"/>
      <w:divBdr>
        <w:top w:val="none" w:sz="0" w:space="0" w:color="auto"/>
        <w:left w:val="none" w:sz="0" w:space="0" w:color="auto"/>
        <w:bottom w:val="none" w:sz="0" w:space="0" w:color="auto"/>
        <w:right w:val="none" w:sz="0" w:space="0" w:color="auto"/>
      </w:divBdr>
    </w:div>
    <w:div w:id="1539052123">
      <w:bodyDiv w:val="1"/>
      <w:marLeft w:val="0"/>
      <w:marRight w:val="0"/>
      <w:marTop w:val="0"/>
      <w:marBottom w:val="0"/>
      <w:divBdr>
        <w:top w:val="none" w:sz="0" w:space="0" w:color="auto"/>
        <w:left w:val="none" w:sz="0" w:space="0" w:color="auto"/>
        <w:bottom w:val="none" w:sz="0" w:space="0" w:color="auto"/>
        <w:right w:val="none" w:sz="0" w:space="0" w:color="auto"/>
      </w:divBdr>
    </w:div>
    <w:div w:id="1553804392">
      <w:bodyDiv w:val="1"/>
      <w:marLeft w:val="0"/>
      <w:marRight w:val="0"/>
      <w:marTop w:val="0"/>
      <w:marBottom w:val="0"/>
      <w:divBdr>
        <w:top w:val="none" w:sz="0" w:space="0" w:color="auto"/>
        <w:left w:val="none" w:sz="0" w:space="0" w:color="auto"/>
        <w:bottom w:val="none" w:sz="0" w:space="0" w:color="auto"/>
        <w:right w:val="none" w:sz="0" w:space="0" w:color="auto"/>
      </w:divBdr>
    </w:div>
    <w:div w:id="1562786066">
      <w:bodyDiv w:val="1"/>
      <w:marLeft w:val="0"/>
      <w:marRight w:val="0"/>
      <w:marTop w:val="0"/>
      <w:marBottom w:val="0"/>
      <w:divBdr>
        <w:top w:val="none" w:sz="0" w:space="0" w:color="auto"/>
        <w:left w:val="none" w:sz="0" w:space="0" w:color="auto"/>
        <w:bottom w:val="none" w:sz="0" w:space="0" w:color="auto"/>
        <w:right w:val="none" w:sz="0" w:space="0" w:color="auto"/>
      </w:divBdr>
    </w:div>
    <w:div w:id="1579166350">
      <w:bodyDiv w:val="1"/>
      <w:marLeft w:val="0"/>
      <w:marRight w:val="0"/>
      <w:marTop w:val="0"/>
      <w:marBottom w:val="0"/>
      <w:divBdr>
        <w:top w:val="none" w:sz="0" w:space="0" w:color="auto"/>
        <w:left w:val="none" w:sz="0" w:space="0" w:color="auto"/>
        <w:bottom w:val="none" w:sz="0" w:space="0" w:color="auto"/>
        <w:right w:val="none" w:sz="0" w:space="0" w:color="auto"/>
      </w:divBdr>
    </w:div>
    <w:div w:id="1618679849">
      <w:bodyDiv w:val="1"/>
      <w:marLeft w:val="0"/>
      <w:marRight w:val="0"/>
      <w:marTop w:val="0"/>
      <w:marBottom w:val="0"/>
      <w:divBdr>
        <w:top w:val="none" w:sz="0" w:space="0" w:color="auto"/>
        <w:left w:val="none" w:sz="0" w:space="0" w:color="auto"/>
        <w:bottom w:val="none" w:sz="0" w:space="0" w:color="auto"/>
        <w:right w:val="none" w:sz="0" w:space="0" w:color="auto"/>
      </w:divBdr>
    </w:div>
    <w:div w:id="1648439523">
      <w:bodyDiv w:val="1"/>
      <w:marLeft w:val="0"/>
      <w:marRight w:val="0"/>
      <w:marTop w:val="0"/>
      <w:marBottom w:val="0"/>
      <w:divBdr>
        <w:top w:val="none" w:sz="0" w:space="0" w:color="auto"/>
        <w:left w:val="none" w:sz="0" w:space="0" w:color="auto"/>
        <w:bottom w:val="none" w:sz="0" w:space="0" w:color="auto"/>
        <w:right w:val="none" w:sz="0" w:space="0" w:color="auto"/>
      </w:divBdr>
    </w:div>
    <w:div w:id="1680691984">
      <w:bodyDiv w:val="1"/>
      <w:marLeft w:val="0"/>
      <w:marRight w:val="0"/>
      <w:marTop w:val="0"/>
      <w:marBottom w:val="0"/>
      <w:divBdr>
        <w:top w:val="none" w:sz="0" w:space="0" w:color="auto"/>
        <w:left w:val="none" w:sz="0" w:space="0" w:color="auto"/>
        <w:bottom w:val="none" w:sz="0" w:space="0" w:color="auto"/>
        <w:right w:val="none" w:sz="0" w:space="0" w:color="auto"/>
      </w:divBdr>
    </w:div>
    <w:div w:id="1819610853">
      <w:bodyDiv w:val="1"/>
      <w:marLeft w:val="0"/>
      <w:marRight w:val="0"/>
      <w:marTop w:val="0"/>
      <w:marBottom w:val="0"/>
      <w:divBdr>
        <w:top w:val="none" w:sz="0" w:space="0" w:color="auto"/>
        <w:left w:val="none" w:sz="0" w:space="0" w:color="auto"/>
        <w:bottom w:val="none" w:sz="0" w:space="0" w:color="auto"/>
        <w:right w:val="none" w:sz="0" w:space="0" w:color="auto"/>
      </w:divBdr>
    </w:div>
    <w:div w:id="1822235720">
      <w:bodyDiv w:val="1"/>
      <w:marLeft w:val="0"/>
      <w:marRight w:val="0"/>
      <w:marTop w:val="0"/>
      <w:marBottom w:val="0"/>
      <w:divBdr>
        <w:top w:val="none" w:sz="0" w:space="0" w:color="auto"/>
        <w:left w:val="none" w:sz="0" w:space="0" w:color="auto"/>
        <w:bottom w:val="none" w:sz="0" w:space="0" w:color="auto"/>
        <w:right w:val="none" w:sz="0" w:space="0" w:color="auto"/>
      </w:divBdr>
    </w:div>
    <w:div w:id="1825392392">
      <w:bodyDiv w:val="1"/>
      <w:marLeft w:val="0"/>
      <w:marRight w:val="0"/>
      <w:marTop w:val="0"/>
      <w:marBottom w:val="0"/>
      <w:divBdr>
        <w:top w:val="none" w:sz="0" w:space="0" w:color="auto"/>
        <w:left w:val="none" w:sz="0" w:space="0" w:color="auto"/>
        <w:bottom w:val="none" w:sz="0" w:space="0" w:color="auto"/>
        <w:right w:val="none" w:sz="0" w:space="0" w:color="auto"/>
      </w:divBdr>
    </w:div>
    <w:div w:id="1840073203">
      <w:bodyDiv w:val="1"/>
      <w:marLeft w:val="0"/>
      <w:marRight w:val="0"/>
      <w:marTop w:val="0"/>
      <w:marBottom w:val="0"/>
      <w:divBdr>
        <w:top w:val="none" w:sz="0" w:space="0" w:color="auto"/>
        <w:left w:val="none" w:sz="0" w:space="0" w:color="auto"/>
        <w:bottom w:val="none" w:sz="0" w:space="0" w:color="auto"/>
        <w:right w:val="none" w:sz="0" w:space="0" w:color="auto"/>
      </w:divBdr>
    </w:div>
    <w:div w:id="1986933115">
      <w:bodyDiv w:val="1"/>
      <w:marLeft w:val="0"/>
      <w:marRight w:val="0"/>
      <w:marTop w:val="0"/>
      <w:marBottom w:val="0"/>
      <w:divBdr>
        <w:top w:val="none" w:sz="0" w:space="0" w:color="auto"/>
        <w:left w:val="none" w:sz="0" w:space="0" w:color="auto"/>
        <w:bottom w:val="none" w:sz="0" w:space="0" w:color="auto"/>
        <w:right w:val="none" w:sz="0" w:space="0" w:color="auto"/>
      </w:divBdr>
    </w:div>
    <w:div w:id="2035500661">
      <w:bodyDiv w:val="1"/>
      <w:marLeft w:val="0"/>
      <w:marRight w:val="0"/>
      <w:marTop w:val="0"/>
      <w:marBottom w:val="0"/>
      <w:divBdr>
        <w:top w:val="none" w:sz="0" w:space="0" w:color="auto"/>
        <w:left w:val="none" w:sz="0" w:space="0" w:color="auto"/>
        <w:bottom w:val="none" w:sz="0" w:space="0" w:color="auto"/>
        <w:right w:val="none" w:sz="0" w:space="0" w:color="auto"/>
      </w:divBdr>
    </w:div>
    <w:div w:id="2036423454">
      <w:bodyDiv w:val="1"/>
      <w:marLeft w:val="0"/>
      <w:marRight w:val="0"/>
      <w:marTop w:val="0"/>
      <w:marBottom w:val="0"/>
      <w:divBdr>
        <w:top w:val="none" w:sz="0" w:space="0" w:color="auto"/>
        <w:left w:val="none" w:sz="0" w:space="0" w:color="auto"/>
        <w:bottom w:val="none" w:sz="0" w:space="0" w:color="auto"/>
        <w:right w:val="none" w:sz="0" w:space="0" w:color="auto"/>
      </w:divBdr>
    </w:div>
    <w:div w:id="2072463254">
      <w:bodyDiv w:val="1"/>
      <w:marLeft w:val="0"/>
      <w:marRight w:val="0"/>
      <w:marTop w:val="0"/>
      <w:marBottom w:val="0"/>
      <w:divBdr>
        <w:top w:val="none" w:sz="0" w:space="0" w:color="auto"/>
        <w:left w:val="none" w:sz="0" w:space="0" w:color="auto"/>
        <w:bottom w:val="none" w:sz="0" w:space="0" w:color="auto"/>
        <w:right w:val="none" w:sz="0" w:space="0" w:color="auto"/>
      </w:divBdr>
    </w:div>
    <w:div w:id="2092458782">
      <w:bodyDiv w:val="1"/>
      <w:marLeft w:val="0"/>
      <w:marRight w:val="0"/>
      <w:marTop w:val="0"/>
      <w:marBottom w:val="0"/>
      <w:divBdr>
        <w:top w:val="none" w:sz="0" w:space="0" w:color="auto"/>
        <w:left w:val="none" w:sz="0" w:space="0" w:color="auto"/>
        <w:bottom w:val="none" w:sz="0" w:space="0" w:color="auto"/>
        <w:right w:val="none" w:sz="0" w:space="0" w:color="auto"/>
      </w:divBdr>
    </w:div>
    <w:div w:id="2113012306">
      <w:bodyDiv w:val="1"/>
      <w:marLeft w:val="0"/>
      <w:marRight w:val="0"/>
      <w:marTop w:val="0"/>
      <w:marBottom w:val="0"/>
      <w:divBdr>
        <w:top w:val="none" w:sz="0" w:space="0" w:color="auto"/>
        <w:left w:val="none" w:sz="0" w:space="0" w:color="auto"/>
        <w:bottom w:val="none" w:sz="0" w:space="0" w:color="auto"/>
        <w:right w:val="none" w:sz="0" w:space="0" w:color="auto"/>
      </w:divBdr>
    </w:div>
    <w:div w:id="2131169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2E0D3F02DA3EB4694325FDB54BB8E80" ma:contentTypeVersion="11" ma:contentTypeDescription="Crear nuevo documento." ma:contentTypeScope="" ma:versionID="a8a2eef6552f6f58cf5d263fcdb630aa">
  <xsd:schema xmlns:xsd="http://www.w3.org/2001/XMLSchema" xmlns:xs="http://www.w3.org/2001/XMLSchema" xmlns:p="http://schemas.microsoft.com/office/2006/metadata/properties" xmlns:ns2="99552676-007f-440b-af63-49658043541b" xmlns:ns3="0a98fae2-955e-41ec-a18e-a3196134c94b" targetNamespace="http://schemas.microsoft.com/office/2006/metadata/properties" ma:root="true" ma:fieldsID="1f6c416e53408cbd7f8498ffe9bb23d7" ns2:_="" ns3:_="">
    <xsd:import namespace="99552676-007f-440b-af63-49658043541b"/>
    <xsd:import namespace="0a98fae2-955e-41ec-a18e-a3196134c94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52676-007f-440b-af63-4965804354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98fae2-955e-41ec-a18e-a3196134c94b"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20C09-1CF7-426F-804E-3416FACD30E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6A577C6-D667-40DE-8BF4-D9D7B55D3C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52676-007f-440b-af63-49658043541b"/>
    <ds:schemaRef ds:uri="0a98fae2-955e-41ec-a18e-a3196134c9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2E8EE2-3307-49F1-84C3-A7C589E232C8}">
  <ds:schemaRefs>
    <ds:schemaRef ds:uri="http://schemas.microsoft.com/sharepoint/v3/contenttype/forms"/>
  </ds:schemaRefs>
</ds:datastoreItem>
</file>

<file path=customXml/itemProps4.xml><?xml version="1.0" encoding="utf-8"?>
<ds:datastoreItem xmlns:ds="http://schemas.openxmlformats.org/officeDocument/2006/customXml" ds:itemID="{6D51A7B5-1310-4762-9667-6D39F0997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5056</Words>
  <Characters>27809</Characters>
  <Application>Microsoft Office Word</Application>
  <DocSecurity>4</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 Francisca</dc:creator>
  <cp:keywords/>
  <dc:description/>
  <cp:lastModifiedBy>Borotto, Sandra</cp:lastModifiedBy>
  <cp:revision>2</cp:revision>
  <dcterms:created xsi:type="dcterms:W3CDTF">2022-01-13T18:05:00Z</dcterms:created>
  <dcterms:modified xsi:type="dcterms:W3CDTF">2022-01-13T18:05:00Z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0x01010062E0D3F02DA3EB4694325FDB54BB8E80</vt:lpwstr>
  </property>
  <property fmtid="{D5CDD505-2E9C-101B-9397-08002B2CF9AE}" pid="3" name="MSIP_Label_592e18b3-ef59-4f6e-be1a-33d806ead288_Enabled">
    <vt:lpwstr>true</vt:lpwstr>
  </property>
  <property fmtid="{D5CDD505-2E9C-101B-9397-08002B2CF9AE}" pid="4" name="MSIP_Label_592e18b3-ef59-4f6e-be1a-33d806ead288_SetDate">
    <vt:lpwstr>2022-01-13T18:05:13Z</vt:lpwstr>
  </property>
  <property fmtid="{D5CDD505-2E9C-101B-9397-08002B2CF9AE}" pid="5" name="MSIP_Label_592e18b3-ef59-4f6e-be1a-33d806ead288_Method">
    <vt:lpwstr>Privileged</vt:lpwstr>
  </property>
  <property fmtid="{D5CDD505-2E9C-101B-9397-08002B2CF9AE}" pid="6" name="MSIP_Label_592e18b3-ef59-4f6e-be1a-33d806ead288_Name">
    <vt:lpwstr>Internal</vt:lpwstr>
  </property>
  <property fmtid="{D5CDD505-2E9C-101B-9397-08002B2CF9AE}" pid="7" name="MSIP_Label_592e18b3-ef59-4f6e-be1a-33d806ead288_SiteId">
    <vt:lpwstr>3bea478c-1684-4a8c-8e85-045ec54ba430</vt:lpwstr>
  </property>
  <property fmtid="{D5CDD505-2E9C-101B-9397-08002B2CF9AE}" pid="8" name="MSIP_Label_592e18b3-ef59-4f6e-be1a-33d806ead288_ActionId">
    <vt:lpwstr>c1b0a947-7d95-4bd6-a73b-b821f1c06d40</vt:lpwstr>
  </property>
  <property fmtid="{D5CDD505-2E9C-101B-9397-08002B2CF9AE}" pid="9" name="MSIP_Label_592e18b3-ef59-4f6e-be1a-33d806ead288_ContentBits">
    <vt:lpwstr>2</vt:lpwstr>
  </property>
</Properties>
</file>