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DF4" w:rsidRDefault="00717DF4" w:rsidP="00717DF4">
      <w:pPr>
        <w:pStyle w:val="Ttulo"/>
        <w:rPr>
          <w:rFonts w:asciiTheme="minorHAnsi" w:hAnsiTheme="minorHAnsi" w:cs="Times New Roman"/>
          <w:sz w:val="36"/>
          <w:szCs w:val="36"/>
        </w:rPr>
      </w:pPr>
      <w:bookmarkStart w:id="0" w:name="_GoBack"/>
      <w:bookmarkEnd w:id="0"/>
    </w:p>
    <w:p w:rsidR="00717DF4" w:rsidRPr="006836D7" w:rsidRDefault="00717DF4" w:rsidP="00717DF4">
      <w:pPr>
        <w:pStyle w:val="Ttulo"/>
        <w:rPr>
          <w:rFonts w:ascii="Verdana" w:hAnsi="Verdana" w:cs="Times New Roman"/>
          <w:sz w:val="22"/>
          <w:szCs w:val="22"/>
        </w:rPr>
      </w:pPr>
      <w:r w:rsidRPr="006836D7">
        <w:rPr>
          <w:rFonts w:ascii="Verdana" w:hAnsi="Verdana" w:cs="Times New Roman"/>
          <w:sz w:val="22"/>
          <w:szCs w:val="22"/>
        </w:rPr>
        <w:t>CORPORACIÓN UNIVERSITARIA MINUTO DE DIOS –UNIMINUTO</w:t>
      </w:r>
    </w:p>
    <w:p w:rsidR="007A4FC8" w:rsidRPr="006836D7" w:rsidRDefault="00717DF4" w:rsidP="007A4FC8">
      <w:pPr>
        <w:tabs>
          <w:tab w:val="left" w:pos="1461"/>
          <w:tab w:val="center" w:pos="5760"/>
        </w:tabs>
        <w:spacing w:before="240"/>
        <w:jc w:val="center"/>
        <w:rPr>
          <w:rFonts w:ascii="Verdana" w:hAnsi="Verdana"/>
          <w:b/>
          <w:color w:val="000000"/>
          <w:sz w:val="22"/>
          <w:szCs w:val="22"/>
        </w:rPr>
      </w:pPr>
      <w:r w:rsidRPr="006836D7">
        <w:rPr>
          <w:rFonts w:ascii="Verdana" w:hAnsi="Verdana"/>
          <w:b/>
          <w:color w:val="000000"/>
          <w:sz w:val="22"/>
          <w:szCs w:val="22"/>
        </w:rPr>
        <w:t>CASO PRÁCTICO DE ANÁLISIS DE COSTOS</w:t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>DOCENTE: ______________</w:t>
      </w:r>
      <w:r w:rsidR="00013770">
        <w:rPr>
          <w:rFonts w:ascii="Verdana" w:hAnsi="Verdana"/>
          <w:sz w:val="22"/>
          <w:szCs w:val="22"/>
        </w:rPr>
        <w:t>CARLOS FABREGA</w:t>
      </w:r>
      <w:r w:rsidRPr="006836D7">
        <w:rPr>
          <w:rFonts w:ascii="Verdana" w:hAnsi="Verdana"/>
          <w:sz w:val="22"/>
          <w:szCs w:val="22"/>
        </w:rPr>
        <w:t>_______________________________</w:t>
      </w:r>
      <w:r w:rsidRPr="006836D7">
        <w:rPr>
          <w:rFonts w:ascii="Verdana" w:hAnsi="Verdana"/>
          <w:sz w:val="22"/>
          <w:szCs w:val="22"/>
        </w:rPr>
        <w:tab/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 xml:space="preserve">ASIGNATURA: FUNDAMENTOS DE ECONOMÍA Y MICROECONOMÍA </w:t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>ESTUDIANTE: ___</w:t>
      </w:r>
      <w:r w:rsidR="00013770">
        <w:rPr>
          <w:rFonts w:ascii="Verdana" w:hAnsi="Verdana"/>
          <w:sz w:val="22"/>
          <w:szCs w:val="22"/>
        </w:rPr>
        <w:t>GINA CEPEDA</w:t>
      </w:r>
      <w:r w:rsidRPr="006836D7">
        <w:rPr>
          <w:rFonts w:ascii="Verdana" w:hAnsi="Verdana"/>
          <w:sz w:val="22"/>
          <w:szCs w:val="22"/>
        </w:rPr>
        <w:t>_____________________________</w:t>
      </w:r>
      <w:r w:rsidRPr="006836D7">
        <w:rPr>
          <w:rFonts w:ascii="Verdana" w:hAnsi="Verdana"/>
          <w:sz w:val="22"/>
          <w:szCs w:val="22"/>
        </w:rPr>
        <w:tab/>
        <w:t>IDENTIFICACIÓN: _____</w:t>
      </w:r>
      <w:r w:rsidR="00013770">
        <w:rPr>
          <w:rFonts w:ascii="Verdana" w:hAnsi="Verdana"/>
          <w:sz w:val="22"/>
          <w:szCs w:val="22"/>
        </w:rPr>
        <w:t>000672773</w:t>
      </w:r>
      <w:r w:rsidRPr="006836D7">
        <w:rPr>
          <w:rFonts w:ascii="Verdana" w:hAnsi="Verdana"/>
          <w:sz w:val="22"/>
          <w:szCs w:val="22"/>
        </w:rPr>
        <w:t>________________________</w:t>
      </w:r>
    </w:p>
    <w:p w:rsidR="00717DF4" w:rsidRPr="006836D7" w:rsidRDefault="00717DF4" w:rsidP="00717DF4">
      <w:pPr>
        <w:jc w:val="both"/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sz w:val="22"/>
          <w:szCs w:val="22"/>
        </w:rPr>
        <w:t>PERIODO ACADÉMICO: _</w:t>
      </w:r>
      <w:r w:rsidR="00013770">
        <w:rPr>
          <w:rFonts w:ascii="Verdana" w:hAnsi="Verdana"/>
          <w:sz w:val="22"/>
          <w:szCs w:val="22"/>
        </w:rPr>
        <w:t>II</w:t>
      </w:r>
      <w:r w:rsidRPr="006836D7">
        <w:rPr>
          <w:rFonts w:ascii="Verdana" w:hAnsi="Verdana"/>
          <w:sz w:val="22"/>
          <w:szCs w:val="22"/>
        </w:rPr>
        <w:t>______________</w:t>
      </w:r>
      <w:r w:rsidRPr="006836D7">
        <w:rPr>
          <w:rFonts w:ascii="Verdana" w:hAnsi="Verdana"/>
          <w:sz w:val="22"/>
          <w:szCs w:val="22"/>
        </w:rPr>
        <w:tab/>
      </w:r>
      <w:r w:rsidRPr="006836D7">
        <w:rPr>
          <w:rFonts w:ascii="Verdana" w:hAnsi="Verdana"/>
          <w:sz w:val="22"/>
          <w:szCs w:val="22"/>
        </w:rPr>
        <w:tab/>
      </w:r>
      <w:r w:rsidRPr="006836D7">
        <w:rPr>
          <w:rFonts w:ascii="Verdana" w:hAnsi="Verdana"/>
          <w:sz w:val="22"/>
          <w:szCs w:val="22"/>
        </w:rPr>
        <w:tab/>
        <w:t xml:space="preserve"> FECHA: </w:t>
      </w:r>
      <w:r w:rsidR="00013770">
        <w:rPr>
          <w:rFonts w:ascii="Verdana" w:hAnsi="Verdana"/>
          <w:sz w:val="22"/>
          <w:szCs w:val="22"/>
        </w:rPr>
        <w:t>1/10/18</w:t>
      </w:r>
      <w:r w:rsidRPr="006836D7">
        <w:rPr>
          <w:rFonts w:ascii="Verdana" w:hAnsi="Verdana"/>
          <w:sz w:val="22"/>
          <w:szCs w:val="22"/>
        </w:rPr>
        <w:t>________________</w:t>
      </w:r>
    </w:p>
    <w:p w:rsidR="00717DF4" w:rsidRPr="006836D7" w:rsidRDefault="00717DF4" w:rsidP="00717DF4">
      <w:pPr>
        <w:rPr>
          <w:rFonts w:ascii="Verdana" w:hAnsi="Verdana"/>
          <w:sz w:val="22"/>
          <w:szCs w:val="22"/>
        </w:rPr>
      </w:pPr>
    </w:p>
    <w:p w:rsidR="00717DF4" w:rsidRPr="006836D7" w:rsidRDefault="00717DF4" w:rsidP="00717DF4">
      <w:pPr>
        <w:numPr>
          <w:ilvl w:val="0"/>
          <w:numId w:val="2"/>
        </w:numPr>
        <w:spacing w:before="240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>La empresa Frutos del Algodón S. A. confecciona camisetas con los siguientes costes</w:t>
      </w:r>
    </w:p>
    <w:p w:rsidR="00717DF4" w:rsidRPr="006836D7" w:rsidRDefault="00717DF4" w:rsidP="00717DF4">
      <w:pPr>
        <w:spacing w:before="240"/>
        <w:ind w:left="1428" w:firstLine="69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Alquiler del local: 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>$250</w:t>
      </w:r>
    </w:p>
    <w:p w:rsidR="00717DF4" w:rsidRPr="006836D7" w:rsidRDefault="00717DF4" w:rsidP="00717DF4">
      <w:pPr>
        <w:tabs>
          <w:tab w:val="left" w:pos="5760"/>
        </w:tabs>
        <w:spacing w:before="120"/>
        <w:ind w:left="212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Alquiler del equipo: 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 xml:space="preserve">$50 </w:t>
      </w:r>
    </w:p>
    <w:p w:rsidR="00717DF4" w:rsidRPr="006836D7" w:rsidRDefault="00717DF4" w:rsidP="00717DF4">
      <w:pPr>
        <w:tabs>
          <w:tab w:val="left" w:pos="5760"/>
        </w:tabs>
        <w:spacing w:before="120"/>
        <w:ind w:left="212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Salario por hora: 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 xml:space="preserve">$20 </w:t>
      </w:r>
    </w:p>
    <w:p w:rsidR="00717DF4" w:rsidRPr="006836D7" w:rsidRDefault="00717DF4" w:rsidP="00717DF4">
      <w:pPr>
        <w:tabs>
          <w:tab w:val="left" w:pos="5760"/>
        </w:tabs>
        <w:spacing w:before="120"/>
        <w:ind w:left="2126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>Materia prima por unidad producida:</w:t>
      </w:r>
      <w:r w:rsidRPr="006836D7">
        <w:rPr>
          <w:rFonts w:ascii="Verdana" w:hAnsi="Verdana"/>
          <w:color w:val="000000"/>
          <w:sz w:val="22"/>
          <w:szCs w:val="22"/>
        </w:rPr>
        <w:tab/>
      </w:r>
      <w:r w:rsidR="006836D7">
        <w:rPr>
          <w:rFonts w:ascii="Verdana" w:hAnsi="Verdana"/>
          <w:color w:val="000000"/>
          <w:sz w:val="22"/>
          <w:szCs w:val="22"/>
        </w:rPr>
        <w:t xml:space="preserve">        </w:t>
      </w:r>
      <w:r w:rsidRPr="006836D7">
        <w:rPr>
          <w:rFonts w:ascii="Verdana" w:hAnsi="Verdana"/>
          <w:color w:val="000000"/>
          <w:sz w:val="22"/>
          <w:szCs w:val="22"/>
        </w:rPr>
        <w:t xml:space="preserve">$86 </w:t>
      </w: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La relación laboral con los empleados es eventual, de tal manera que reciben un sueldo por hora trabajada de $2, mientras </w:t>
      </w:r>
      <w:r w:rsidR="006836D7" w:rsidRPr="006836D7">
        <w:rPr>
          <w:rFonts w:ascii="Verdana" w:hAnsi="Verdana"/>
          <w:color w:val="000000"/>
          <w:sz w:val="22"/>
          <w:szCs w:val="22"/>
        </w:rPr>
        <w:t>que,</w:t>
      </w:r>
      <w:r w:rsidRPr="006836D7">
        <w:rPr>
          <w:rFonts w:ascii="Verdana" w:hAnsi="Verdana"/>
          <w:color w:val="000000"/>
          <w:sz w:val="22"/>
          <w:szCs w:val="22"/>
        </w:rPr>
        <w:t xml:space="preserve"> si no trabajan, no reciben paga. </w:t>
      </w: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</w:p>
    <w:p w:rsidR="00717DF4" w:rsidRPr="006836D7" w:rsidRDefault="00717DF4" w:rsidP="00717DF4">
      <w:pPr>
        <w:tabs>
          <w:tab w:val="left" w:pos="5940"/>
        </w:tabs>
        <w:spacing w:before="120"/>
        <w:ind w:left="708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La relación entre horas de trabajo y camisetas confeccionadas responde a la siguiente tabla: </w:t>
      </w:r>
    </w:p>
    <w:p w:rsidR="00717DF4" w:rsidRPr="006836D7" w:rsidRDefault="00717DF4" w:rsidP="00717DF4">
      <w:pPr>
        <w:tabs>
          <w:tab w:val="left" w:pos="5940"/>
        </w:tabs>
        <w:ind w:left="720"/>
        <w:jc w:val="both"/>
        <w:rPr>
          <w:rFonts w:ascii="Verdana" w:hAnsi="Verdana"/>
          <w:color w:val="000000"/>
          <w:sz w:val="22"/>
          <w:szCs w:val="22"/>
        </w:rPr>
      </w:pPr>
    </w:p>
    <w:tbl>
      <w:tblPr>
        <w:tblW w:w="0" w:type="auto"/>
        <w:tblInd w:w="1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</w:tblGrid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Horas de trabajo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 xml:space="preserve">Camisetas 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150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380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650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790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850</w:t>
            </w:r>
          </w:p>
        </w:tc>
      </w:tr>
      <w:tr w:rsidR="00717DF4" w:rsidRPr="006836D7" w:rsidTr="000E2248">
        <w:tc>
          <w:tcPr>
            <w:tcW w:w="1548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440" w:type="dxa"/>
            <w:vAlign w:val="center"/>
          </w:tcPr>
          <w:p w:rsidR="00717DF4" w:rsidRPr="006836D7" w:rsidRDefault="00717DF4" w:rsidP="000E2248">
            <w:pPr>
              <w:tabs>
                <w:tab w:val="left" w:pos="5940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6836D7">
              <w:rPr>
                <w:rFonts w:ascii="Verdana" w:hAnsi="Verdana"/>
                <w:color w:val="000000"/>
                <w:sz w:val="22"/>
                <w:szCs w:val="22"/>
              </w:rPr>
              <w:t>940</w:t>
            </w:r>
          </w:p>
        </w:tc>
      </w:tr>
    </w:tbl>
    <w:p w:rsidR="00717DF4" w:rsidRPr="006836D7" w:rsidRDefault="00717DF4" w:rsidP="00717DF4">
      <w:pPr>
        <w:spacing w:before="120"/>
        <w:ind w:left="1440"/>
        <w:jc w:val="both"/>
        <w:rPr>
          <w:rFonts w:ascii="Verdana" w:hAnsi="Verdana"/>
          <w:color w:val="000000"/>
          <w:sz w:val="22"/>
          <w:szCs w:val="22"/>
        </w:rPr>
      </w:pPr>
    </w:p>
    <w:p w:rsidR="00717DF4" w:rsidRPr="006836D7" w:rsidRDefault="00717DF4" w:rsidP="00717DF4">
      <w:pPr>
        <w:numPr>
          <w:ilvl w:val="1"/>
          <w:numId w:val="1"/>
        </w:numPr>
        <w:spacing w:before="120"/>
        <w:ind w:left="1440" w:hanging="357"/>
        <w:jc w:val="both"/>
        <w:rPr>
          <w:rFonts w:ascii="Verdana" w:hAnsi="Verdana"/>
          <w:color w:val="000000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>Teniendo en cuenta que cada camiseta se vende a $200, complete la tabla anterior calculando costes variables (CV), costes fijos (CF), costes totales (CT), ingresos totales (IT), beneficios totales (BT), coste unitario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CMe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ingresos medios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IMe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beneficios medios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BMe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coste marginal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CMa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), ingreso marginal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IMa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>) y beneficio marginal (</w:t>
      </w:r>
      <w:proofErr w:type="spellStart"/>
      <w:r w:rsidRPr="006836D7">
        <w:rPr>
          <w:rFonts w:ascii="Verdana" w:hAnsi="Verdana"/>
          <w:color w:val="000000"/>
          <w:sz w:val="22"/>
          <w:szCs w:val="22"/>
        </w:rPr>
        <w:t>BMa</w:t>
      </w:r>
      <w:proofErr w:type="spellEnd"/>
      <w:r w:rsidRPr="006836D7">
        <w:rPr>
          <w:rFonts w:ascii="Verdana" w:hAnsi="Verdana"/>
          <w:color w:val="000000"/>
          <w:sz w:val="22"/>
          <w:szCs w:val="22"/>
        </w:rPr>
        <w:t xml:space="preserve">). </w:t>
      </w:r>
    </w:p>
    <w:p w:rsidR="007A4FC8" w:rsidRDefault="007A4FC8" w:rsidP="00717DF4">
      <w:pPr>
        <w:spacing w:before="120"/>
        <w:ind w:left="1440"/>
        <w:jc w:val="both"/>
        <w:rPr>
          <w:rFonts w:ascii="Verdana" w:hAnsi="Verdana"/>
          <w:color w:val="000000"/>
          <w:sz w:val="22"/>
          <w:szCs w:val="22"/>
        </w:rPr>
      </w:pPr>
    </w:p>
    <w:p w:rsidR="007A4FC8" w:rsidRPr="006836D7" w:rsidRDefault="007A4FC8" w:rsidP="00717DF4">
      <w:pPr>
        <w:spacing w:before="120"/>
        <w:ind w:left="1440"/>
        <w:jc w:val="both"/>
        <w:rPr>
          <w:rFonts w:ascii="Verdana" w:hAnsi="Verdana"/>
          <w:color w:val="000000"/>
          <w:sz w:val="22"/>
          <w:szCs w:val="22"/>
        </w:rPr>
      </w:pPr>
    </w:p>
    <w:p w:rsidR="004C56C8" w:rsidRPr="00013770" w:rsidRDefault="00717DF4" w:rsidP="007A4FC8">
      <w:pPr>
        <w:numPr>
          <w:ilvl w:val="1"/>
          <w:numId w:val="1"/>
        </w:numPr>
        <w:spacing w:before="120"/>
        <w:ind w:left="1440" w:hanging="357"/>
        <w:jc w:val="both"/>
        <w:rPr>
          <w:rFonts w:ascii="Verdana" w:hAnsi="Verdana"/>
          <w:sz w:val="22"/>
          <w:szCs w:val="22"/>
        </w:rPr>
      </w:pPr>
      <w:r w:rsidRPr="006836D7">
        <w:rPr>
          <w:rFonts w:ascii="Verdana" w:hAnsi="Verdana"/>
          <w:color w:val="000000"/>
          <w:sz w:val="22"/>
          <w:szCs w:val="22"/>
        </w:rPr>
        <w:t xml:space="preserve">Señale, además, el nivel de producción de máximo beneficio. </w:t>
      </w:r>
      <w:bookmarkStart w:id="1" w:name="_PictureBullets"/>
      <w:r w:rsidRPr="006836D7">
        <w:rPr>
          <w:rFonts w:ascii="Verdana" w:hAnsi="Verdana"/>
          <w:noProof/>
          <w:vanish/>
          <w:sz w:val="22"/>
          <w:szCs w:val="22"/>
          <w:lang w:eastAsia="es-CO"/>
        </w:rPr>
        <w:drawing>
          <wp:inline distT="0" distB="0" distL="0" distR="0" wp14:anchorId="52645711" wp14:editId="6E6D0B34">
            <wp:extent cx="140970" cy="1409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 w:rsidR="006836D7" w:rsidRPr="006836D7">
        <w:rPr>
          <w:rFonts w:ascii="Verdana" w:hAnsi="Verdana"/>
          <w:color w:val="000000"/>
          <w:sz w:val="22"/>
          <w:szCs w:val="22"/>
        </w:rPr>
        <w:softHyphen/>
      </w:r>
    </w:p>
    <w:p w:rsidR="00013770" w:rsidRDefault="00013770" w:rsidP="00013770">
      <w:pPr>
        <w:spacing w:before="120"/>
        <w:ind w:left="1440"/>
        <w:jc w:val="both"/>
        <w:rPr>
          <w:rFonts w:ascii="Verdana" w:hAnsi="Verdana"/>
          <w:sz w:val="22"/>
          <w:szCs w:val="22"/>
        </w:rPr>
      </w:pPr>
    </w:p>
    <w:p w:rsidR="00013770" w:rsidRDefault="00013770" w:rsidP="00013770">
      <w:pPr>
        <w:spacing w:before="120"/>
        <w:ind w:left="1440"/>
        <w:jc w:val="both"/>
        <w:rPr>
          <w:rFonts w:ascii="Verdana" w:hAnsi="Verdana"/>
          <w:sz w:val="22"/>
          <w:szCs w:val="22"/>
        </w:rPr>
      </w:pPr>
    </w:p>
    <w:p w:rsidR="00013770" w:rsidRPr="002D3800" w:rsidRDefault="00013770" w:rsidP="00013770">
      <w:pPr>
        <w:spacing w:before="120"/>
        <w:ind w:left="1440"/>
        <w:jc w:val="both"/>
        <w:rPr>
          <w:rFonts w:ascii="Verdana" w:hAnsi="Verdana"/>
          <w:sz w:val="22"/>
          <w:szCs w:val="22"/>
        </w:rPr>
      </w:pPr>
    </w:p>
    <w:tbl>
      <w:tblPr>
        <w:tblpPr w:leftFromText="141" w:rightFromText="141" w:horzAnchor="margin" w:tblpY="1074"/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6"/>
        <w:gridCol w:w="1675"/>
      </w:tblGrid>
      <w:tr w:rsidR="002A63DF" w:rsidRPr="002A63DF" w:rsidTr="002A63DF">
        <w:trPr>
          <w:trHeight w:val="30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PRECIO DE VENTA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ALQUILER DE LOCAL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250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ALQUILER DE EQUIPO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50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SALARIO/ HORA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</w:t>
            </w:r>
          </w:p>
        </w:tc>
      </w:tr>
      <w:tr w:rsidR="002A63DF" w:rsidRPr="002A63DF" w:rsidTr="002A63DF">
        <w:trPr>
          <w:trHeight w:val="30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MATERIA PRIMA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86</w:t>
            </w:r>
          </w:p>
        </w:tc>
      </w:tr>
    </w:tbl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2"/>
        <w:gridCol w:w="1174"/>
        <w:gridCol w:w="1174"/>
        <w:gridCol w:w="1174"/>
        <w:gridCol w:w="1174"/>
        <w:gridCol w:w="1174"/>
        <w:gridCol w:w="1174"/>
        <w:gridCol w:w="774"/>
      </w:tblGrid>
      <w:tr w:rsidR="002A63DF" w:rsidRPr="002A63DF" w:rsidTr="002A63DF">
        <w:trPr>
          <w:trHeight w:val="30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HORAS DE TRABAJO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120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40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100</w:t>
            </w:r>
          </w:p>
        </w:tc>
        <w:tc>
          <w:tcPr>
            <w:tcW w:w="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120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CAMISETAS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850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940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CV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$13300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33480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57100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69540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75100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8240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CF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13600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33780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57400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69840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75400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83540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IT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30000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76000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130000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158000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170000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188000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$300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16400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42200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72600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88160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94600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104460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90.67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88.89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88.31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88.41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88.71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88.7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IME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109.33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111.69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111.59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111.29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11.13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CMA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87.7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87.5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88.9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92.7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90.4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IMA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200,0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BMA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112.3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112.5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111.1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107.3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109.6</w:t>
            </w:r>
          </w:p>
        </w:tc>
      </w:tr>
      <w:tr w:rsidR="002A63DF" w:rsidRPr="002A63DF" w:rsidTr="002A63DF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sz w:val="20"/>
                <w:szCs w:val="20"/>
                <w:lang w:val="es-ES"/>
              </w:rPr>
            </w:pPr>
          </w:p>
        </w:tc>
      </w:tr>
      <w:tr w:rsidR="002A63DF" w:rsidRPr="002A63DF" w:rsidTr="002A63DF">
        <w:trPr>
          <w:trHeight w:val="300"/>
        </w:trPr>
        <w:tc>
          <w:tcPr>
            <w:tcW w:w="96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3DF" w:rsidRPr="002A63DF" w:rsidRDefault="002A63DF" w:rsidP="002A63D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B) El nivel de </w:t>
            </w:r>
            <w:proofErr w:type="spellStart"/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produccción</w:t>
            </w:r>
            <w:proofErr w:type="spellEnd"/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más alto se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da en la casilla señalada, </w:t>
            </w:r>
            <w:r w:rsidRPr="002A63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por tener el costo marginal más bajo y el beneficio marginal más alto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</w:p>
        </w:tc>
      </w:tr>
    </w:tbl>
    <w:p w:rsidR="00391EE3" w:rsidRDefault="00391EE3" w:rsidP="002A63DF">
      <w:pPr>
        <w:spacing w:before="120"/>
        <w:ind w:left="721"/>
        <w:jc w:val="both"/>
        <w:rPr>
          <w:rFonts w:ascii="Verdana" w:hAnsi="Verdana"/>
          <w:sz w:val="22"/>
          <w:szCs w:val="22"/>
        </w:rPr>
      </w:pPr>
    </w:p>
    <w:p w:rsidR="00391EE3" w:rsidRDefault="00391EE3" w:rsidP="00391EE3">
      <w:pPr>
        <w:spacing w:before="120"/>
        <w:ind w:left="721"/>
        <w:jc w:val="center"/>
        <w:rPr>
          <w:rFonts w:ascii="Verdana" w:hAnsi="Verdana"/>
          <w:b/>
          <w:sz w:val="22"/>
          <w:szCs w:val="22"/>
        </w:rPr>
      </w:pPr>
      <w:r w:rsidRPr="00391EE3">
        <w:rPr>
          <w:rFonts w:ascii="Verdana" w:hAnsi="Verdana"/>
          <w:b/>
          <w:sz w:val="22"/>
          <w:szCs w:val="22"/>
        </w:rPr>
        <w:t>ANALISIS CRITICO</w:t>
      </w:r>
    </w:p>
    <w:p w:rsidR="00391EE3" w:rsidRPr="00391EE3" w:rsidRDefault="00391EE3" w:rsidP="00391EE3">
      <w:pPr>
        <w:spacing w:before="120"/>
        <w:ind w:left="721"/>
        <w:jc w:val="center"/>
        <w:rPr>
          <w:rFonts w:ascii="Verdana" w:hAnsi="Verdana"/>
          <w:b/>
          <w:sz w:val="22"/>
          <w:szCs w:val="22"/>
        </w:rPr>
      </w:pPr>
    </w:p>
    <w:p w:rsidR="002D3800" w:rsidRPr="00013770" w:rsidRDefault="00391EE3" w:rsidP="00391EE3">
      <w:pPr>
        <w:pStyle w:val="Prrafodelista"/>
        <w:numPr>
          <w:ilvl w:val="0"/>
          <w:numId w:val="3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3770">
        <w:rPr>
          <w:rFonts w:asciiTheme="minorHAnsi" w:hAnsiTheme="minorHAnsi" w:cstheme="minorHAnsi"/>
          <w:b/>
          <w:sz w:val="22"/>
          <w:szCs w:val="22"/>
        </w:rPr>
        <w:t xml:space="preserve">¿Qué impactos tienen las compañías en las de </w:t>
      </w:r>
      <w:r w:rsidR="00013770" w:rsidRPr="00013770">
        <w:rPr>
          <w:rFonts w:asciiTheme="minorHAnsi" w:hAnsiTheme="minorHAnsi" w:cstheme="minorHAnsi"/>
          <w:b/>
          <w:sz w:val="22"/>
          <w:szCs w:val="22"/>
        </w:rPr>
        <w:t>variables p</w:t>
      </w:r>
      <w:r w:rsidRPr="00013770">
        <w:rPr>
          <w:rFonts w:asciiTheme="minorHAnsi" w:hAnsiTheme="minorHAnsi" w:cstheme="minorHAnsi"/>
          <w:b/>
          <w:sz w:val="22"/>
          <w:szCs w:val="22"/>
        </w:rPr>
        <w:t>roducción?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 xml:space="preserve">El impacto es que estas empresas son las gerentes de las variables de producción, es decir, ella gestionan la combinación de los factores. 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En líneas generales para planificar la producción se deben tomar en cuenta los siguientes factores para organizar su proceso productivo: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1EE3">
        <w:rPr>
          <w:rFonts w:asciiTheme="minorHAnsi" w:hAnsiTheme="minorHAnsi" w:cstheme="minorHAnsi"/>
          <w:b/>
          <w:sz w:val="22"/>
          <w:szCs w:val="22"/>
        </w:rPr>
        <w:t>Capital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Los recursos financieros con que cuenta la empresa. 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Mano de Obra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Los recursos humanos con que cuenta la empresa. 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Materia Prima</w:t>
      </w:r>
    </w:p>
    <w:p w:rsidR="002A63DF" w:rsidRPr="00391EE3" w:rsidRDefault="002A63DF" w:rsidP="002A63DF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Los recursos  necesarios para la elaboración , con que cuenta la empresa para realizar el proceso productivo. </w:t>
      </w: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391EE3" w:rsidRPr="00391EE3" w:rsidRDefault="00391EE3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Dependiendo del poder de mercado que tenga una empresa, afectará la estructura del mercado.</w:t>
      </w: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Por ejemplo si tiene un alto poder de mercado, tenderá hacia un mercado monopólico. </w:t>
      </w: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2A63DF" w:rsidRPr="00391EE3" w:rsidRDefault="002A63DF" w:rsidP="002A63D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91EE3">
        <w:rPr>
          <w:rFonts w:asciiTheme="minorHAnsi" w:hAnsiTheme="minorHAnsi" w:cstheme="minorHAnsi"/>
          <w:sz w:val="22"/>
          <w:szCs w:val="22"/>
        </w:rPr>
        <w:t>Las economías de escala, es la disminución de los costos a medida que la producción y dimensión de la empresa crece. </w:t>
      </w:r>
    </w:p>
    <w:p w:rsidR="002A63DF" w:rsidRPr="00013770" w:rsidRDefault="00391EE3" w:rsidP="00391EE3">
      <w:pPr>
        <w:pStyle w:val="Prrafodelista"/>
        <w:numPr>
          <w:ilvl w:val="0"/>
          <w:numId w:val="3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3770">
        <w:rPr>
          <w:rFonts w:asciiTheme="minorHAnsi" w:hAnsiTheme="minorHAnsi" w:cstheme="minorHAnsi"/>
          <w:b/>
          <w:sz w:val="22"/>
          <w:szCs w:val="22"/>
        </w:rPr>
        <w:t>Cómo los tipos de tipos de empresas afectan el mercado?</w:t>
      </w:r>
    </w:p>
    <w:p w:rsidR="00013770" w:rsidRPr="00013770" w:rsidRDefault="00013770" w:rsidP="00013770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D1C82" w:rsidRDefault="00013770" w:rsidP="003D1C82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Considero, que los tipos diferentes tipos empresa influyen en el mercado de manera positiva, ya que se intercambian bienes y servicios. La mayoría de los mercados depende de los vendedores que ofrecen sus productos , pues la economía gira en torno  al intercambio entre individuos que compran bienes y servicios a las empresas.</w:t>
      </w:r>
    </w:p>
    <w:p w:rsidR="00013770" w:rsidRDefault="00013770" w:rsidP="003D1C82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sz w:val="22"/>
          <w:szCs w:val="22"/>
        </w:rPr>
      </w:pPr>
    </w:p>
    <w:p w:rsidR="003D1C82" w:rsidRPr="00013770" w:rsidRDefault="003D1C82" w:rsidP="00391EE3">
      <w:pPr>
        <w:pStyle w:val="Prrafodelista"/>
        <w:numPr>
          <w:ilvl w:val="0"/>
          <w:numId w:val="3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3770">
        <w:rPr>
          <w:rFonts w:asciiTheme="minorHAnsi" w:hAnsiTheme="minorHAnsi" w:cstheme="minorHAnsi"/>
          <w:b/>
          <w:sz w:val="22"/>
          <w:szCs w:val="22"/>
        </w:rPr>
        <w:t>Cómo las empresas evolucionan a partir de la economía de escala?</w:t>
      </w:r>
    </w:p>
    <w:p w:rsidR="003D1C82" w:rsidRDefault="003D1C82" w:rsidP="003D1C82">
      <w:pPr>
        <w:pStyle w:val="Prrafodelista"/>
        <w:spacing w:before="120"/>
        <w:ind w:left="1081"/>
        <w:jc w:val="both"/>
        <w:rPr>
          <w:rFonts w:asciiTheme="minorHAnsi" w:hAnsiTheme="minorHAnsi" w:cstheme="minorHAnsi"/>
          <w:sz w:val="22"/>
          <w:szCs w:val="22"/>
        </w:rPr>
      </w:pPr>
    </w:p>
    <w:p w:rsidR="003D1C82" w:rsidRP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La economía de escala es un concepto del marketing aplicado generalmente a pequeñas y mediana empresas. Se trata de todos aquellos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factores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que hacen que el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r w:rsidR="000137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medio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de una unidad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caiga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según diversos cambios internos.</w:t>
      </w:r>
    </w:p>
    <w:p w:rsidR="003D1C82" w:rsidRP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Por ejemplo, dicha reducción en un producto o servicio puede ser consecuencia directa de una ampliación de la empresa —nuevas sedes, mayor personal— o de la inyección de recursos que puede suponer la fusión con otra marca. Es decir, siempre que exista un incremento en los ciclos productivos habituales de la compañía.</w:t>
      </w:r>
    </w:p>
    <w:p w:rsidR="003D1C82" w:rsidRP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La economía de escala se sustenta, por tanto, en la relación entre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nivel de producción y beneficios: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 la ecuación clásica señala que si existe una mayor producción, los costes son menores una vez se aplican al producto.</w:t>
      </w:r>
    </w:p>
    <w:p w:rsidR="003D1C82" w:rsidRDefault="003D1C82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color w:val="000000"/>
          <w:sz w:val="22"/>
          <w:szCs w:val="22"/>
        </w:rPr>
      </w:pPr>
      <w:r w:rsidRPr="003D1C82">
        <w:rPr>
          <w:rFonts w:asciiTheme="minorHAnsi" w:hAnsiTheme="minorHAnsi" w:cstheme="minorHAnsi"/>
          <w:color w:val="000000"/>
          <w:sz w:val="22"/>
          <w:szCs w:val="22"/>
        </w:rPr>
        <w:t>A su vez, también puede hablarse del término inverso: </w:t>
      </w:r>
      <w:r w:rsidRPr="003D1C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las deseconomías de escala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>, que son aquellas decisiones orientadas a aumentar la producción pero que, a diferencia de las primeras, no se traducen en una reducción de los precios. Los ejemplos más típicos son la sobrecapacidad, las horas extras y el marketing adicional</w:t>
      </w:r>
      <w:r>
        <w:rPr>
          <w:rFonts w:asciiTheme="minorHAnsi" w:hAnsiTheme="minorHAnsi" w:cstheme="minorHAnsi"/>
          <w:color w:val="000000"/>
          <w:sz w:val="22"/>
          <w:szCs w:val="22"/>
        </w:rPr>
        <w:t>,  e</w:t>
      </w:r>
      <w:r w:rsidRPr="003D1C82">
        <w:rPr>
          <w:rFonts w:asciiTheme="minorHAnsi" w:hAnsiTheme="minorHAnsi" w:cstheme="minorHAnsi"/>
          <w:color w:val="000000"/>
          <w:sz w:val="22"/>
          <w:szCs w:val="22"/>
        </w:rPr>
        <w:t xml:space="preserve">s por ello que estos procesos no se aplican en todos los contextos. </w:t>
      </w:r>
    </w:p>
    <w:p w:rsidR="00A877B0" w:rsidRDefault="00A877B0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sz w:val="22"/>
          <w:szCs w:val="22"/>
        </w:rPr>
      </w:pPr>
    </w:p>
    <w:p w:rsidR="00A877B0" w:rsidRDefault="00A877B0" w:rsidP="003D1C82">
      <w:pPr>
        <w:pStyle w:val="NormalWeb"/>
        <w:shd w:val="clear" w:color="auto" w:fill="FFFFFF"/>
        <w:spacing w:before="0" w:beforeAutospacing="0" w:after="150" w:afterAutospacing="0"/>
        <w:ind w:left="1081"/>
        <w:rPr>
          <w:rFonts w:asciiTheme="minorHAnsi" w:hAnsiTheme="minorHAnsi" w:cstheme="minorHAnsi"/>
          <w:sz w:val="22"/>
          <w:szCs w:val="22"/>
        </w:rPr>
      </w:pPr>
    </w:p>
    <w:p w:rsidR="00A877B0" w:rsidRPr="003D1C82" w:rsidRDefault="00A877B0" w:rsidP="0064349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391EE3" w:rsidRPr="003D1C82" w:rsidRDefault="00391EE3" w:rsidP="003D1C82">
      <w:pPr>
        <w:spacing w:before="120"/>
        <w:ind w:left="721"/>
        <w:jc w:val="both"/>
        <w:rPr>
          <w:rFonts w:asciiTheme="minorHAnsi" w:hAnsiTheme="minorHAnsi" w:cstheme="minorHAnsi"/>
          <w:sz w:val="22"/>
          <w:szCs w:val="22"/>
        </w:rPr>
      </w:pPr>
    </w:p>
    <w:sectPr w:rsidR="00391EE3" w:rsidRPr="003D1C82" w:rsidSect="007C6093">
      <w:headerReference w:type="default" r:id="rId8"/>
      <w:footerReference w:type="default" r:id="rId9"/>
      <w:pgSz w:w="12240" w:h="15840"/>
      <w:pgMar w:top="720" w:right="1467" w:bottom="720" w:left="993" w:header="426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DDE" w:rsidRDefault="00902DDE" w:rsidP="00717DF4">
      <w:r>
        <w:separator/>
      </w:r>
    </w:p>
  </w:endnote>
  <w:endnote w:type="continuationSeparator" w:id="0">
    <w:p w:rsidR="00902DDE" w:rsidRDefault="00902DDE" w:rsidP="0071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2A" w:rsidRDefault="00717DF4">
    <w:pPr>
      <w:pStyle w:val="Piedepgina"/>
      <w:ind w:right="-288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-363727</wp:posOffset>
          </wp:positionH>
          <wp:positionV relativeFrom="paragraph">
            <wp:posOffset>-45085</wp:posOffset>
          </wp:positionV>
          <wp:extent cx="8314619" cy="72009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LANTILLA WORD PIE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9658" cy="720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DDE" w:rsidRDefault="00902DDE" w:rsidP="00717DF4">
      <w:r>
        <w:separator/>
      </w:r>
    </w:p>
  </w:footnote>
  <w:footnote w:type="continuationSeparator" w:id="0">
    <w:p w:rsidR="00902DDE" w:rsidRDefault="00902DDE" w:rsidP="00717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786" w:rsidRDefault="007A4FC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-23495</wp:posOffset>
          </wp:positionH>
          <wp:positionV relativeFrom="paragraph">
            <wp:posOffset>-260985</wp:posOffset>
          </wp:positionV>
          <wp:extent cx="7834083" cy="643228"/>
          <wp:effectExtent l="0" t="0" r="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 WOR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4083" cy="643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274"/>
    <w:multiLevelType w:val="hybridMultilevel"/>
    <w:tmpl w:val="9B768B6A"/>
    <w:lvl w:ilvl="0" w:tplc="DD5A669A">
      <w:start w:val="1"/>
      <w:numFmt w:val="decimal"/>
      <w:lvlText w:val="%1-"/>
      <w:lvlJc w:val="left"/>
      <w:pPr>
        <w:ind w:left="10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3FCD6BEE"/>
    <w:multiLevelType w:val="hybridMultilevel"/>
    <w:tmpl w:val="0E8C64D6"/>
    <w:lvl w:ilvl="0" w:tplc="50AEBC12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9E4400F8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7BA27A92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CADA9172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251E6776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978A0CF4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3790042C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62942ADC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B7D6327A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" w15:restartNumberingAfterBreak="0">
    <w:nsid w:val="7CA930CE"/>
    <w:multiLevelType w:val="hybridMultilevel"/>
    <w:tmpl w:val="2C0625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F4"/>
    <w:rsid w:val="00012264"/>
    <w:rsid w:val="000124FB"/>
    <w:rsid w:val="000135D3"/>
    <w:rsid w:val="00013770"/>
    <w:rsid w:val="000149DD"/>
    <w:rsid w:val="0001706A"/>
    <w:rsid w:val="000222E3"/>
    <w:rsid w:val="00026A24"/>
    <w:rsid w:val="00036DA0"/>
    <w:rsid w:val="00037655"/>
    <w:rsid w:val="00043632"/>
    <w:rsid w:val="00044F89"/>
    <w:rsid w:val="00051804"/>
    <w:rsid w:val="00053B7A"/>
    <w:rsid w:val="000547AB"/>
    <w:rsid w:val="00064ABD"/>
    <w:rsid w:val="00070F30"/>
    <w:rsid w:val="00073A67"/>
    <w:rsid w:val="0007787B"/>
    <w:rsid w:val="00096FA7"/>
    <w:rsid w:val="000A3F8E"/>
    <w:rsid w:val="000A4F29"/>
    <w:rsid w:val="000A4F2C"/>
    <w:rsid w:val="000A5F06"/>
    <w:rsid w:val="000A6C36"/>
    <w:rsid w:val="000A7BC0"/>
    <w:rsid w:val="000B1EAF"/>
    <w:rsid w:val="000B36C8"/>
    <w:rsid w:val="000C6230"/>
    <w:rsid w:val="000C64F7"/>
    <w:rsid w:val="000D218A"/>
    <w:rsid w:val="000D2ED1"/>
    <w:rsid w:val="000D2FFF"/>
    <w:rsid w:val="000D3F4E"/>
    <w:rsid w:val="000D672C"/>
    <w:rsid w:val="000E5B99"/>
    <w:rsid w:val="000F353B"/>
    <w:rsid w:val="000F6C35"/>
    <w:rsid w:val="000F73CB"/>
    <w:rsid w:val="00100BD5"/>
    <w:rsid w:val="00104EC7"/>
    <w:rsid w:val="00114928"/>
    <w:rsid w:val="00116B97"/>
    <w:rsid w:val="00116BA9"/>
    <w:rsid w:val="00120980"/>
    <w:rsid w:val="00125B88"/>
    <w:rsid w:val="00126A37"/>
    <w:rsid w:val="00134B7B"/>
    <w:rsid w:val="001378FB"/>
    <w:rsid w:val="00145696"/>
    <w:rsid w:val="00146E2D"/>
    <w:rsid w:val="001575A4"/>
    <w:rsid w:val="00162B3C"/>
    <w:rsid w:val="0016475C"/>
    <w:rsid w:val="00164E71"/>
    <w:rsid w:val="001760B1"/>
    <w:rsid w:val="0017613B"/>
    <w:rsid w:val="00176A7C"/>
    <w:rsid w:val="00176DDA"/>
    <w:rsid w:val="00176E14"/>
    <w:rsid w:val="001805E0"/>
    <w:rsid w:val="00181CFA"/>
    <w:rsid w:val="00182215"/>
    <w:rsid w:val="00182B76"/>
    <w:rsid w:val="00185C25"/>
    <w:rsid w:val="00191BEC"/>
    <w:rsid w:val="001922C9"/>
    <w:rsid w:val="001942E1"/>
    <w:rsid w:val="0019479B"/>
    <w:rsid w:val="00197363"/>
    <w:rsid w:val="00197A22"/>
    <w:rsid w:val="001A5604"/>
    <w:rsid w:val="001A781F"/>
    <w:rsid w:val="001B2296"/>
    <w:rsid w:val="001B2B87"/>
    <w:rsid w:val="001B7B42"/>
    <w:rsid w:val="001C0E38"/>
    <w:rsid w:val="001C1709"/>
    <w:rsid w:val="001C6878"/>
    <w:rsid w:val="001D340F"/>
    <w:rsid w:val="001D6489"/>
    <w:rsid w:val="001D7804"/>
    <w:rsid w:val="001E3932"/>
    <w:rsid w:val="001F0DA1"/>
    <w:rsid w:val="001F0FF1"/>
    <w:rsid w:val="00202F03"/>
    <w:rsid w:val="0020589B"/>
    <w:rsid w:val="002065E6"/>
    <w:rsid w:val="002074F2"/>
    <w:rsid w:val="0021136D"/>
    <w:rsid w:val="002136DC"/>
    <w:rsid w:val="00226F3F"/>
    <w:rsid w:val="002337F6"/>
    <w:rsid w:val="00235B33"/>
    <w:rsid w:val="00235F26"/>
    <w:rsid w:val="002365D5"/>
    <w:rsid w:val="00243DC2"/>
    <w:rsid w:val="00246C17"/>
    <w:rsid w:val="00246CEA"/>
    <w:rsid w:val="00276F0D"/>
    <w:rsid w:val="00283245"/>
    <w:rsid w:val="0028470A"/>
    <w:rsid w:val="0028493E"/>
    <w:rsid w:val="002873CC"/>
    <w:rsid w:val="00293264"/>
    <w:rsid w:val="00297DC1"/>
    <w:rsid w:val="002A1130"/>
    <w:rsid w:val="002A3756"/>
    <w:rsid w:val="002A5F05"/>
    <w:rsid w:val="002A63DF"/>
    <w:rsid w:val="002B2DC2"/>
    <w:rsid w:val="002B3176"/>
    <w:rsid w:val="002B3414"/>
    <w:rsid w:val="002C0471"/>
    <w:rsid w:val="002D1992"/>
    <w:rsid w:val="002D2382"/>
    <w:rsid w:val="002D3800"/>
    <w:rsid w:val="002D3E50"/>
    <w:rsid w:val="002D5582"/>
    <w:rsid w:val="002D60F2"/>
    <w:rsid w:val="002E178C"/>
    <w:rsid w:val="002E3033"/>
    <w:rsid w:val="002E3F5A"/>
    <w:rsid w:val="0031226D"/>
    <w:rsid w:val="0031489E"/>
    <w:rsid w:val="00315CA8"/>
    <w:rsid w:val="003163F2"/>
    <w:rsid w:val="0031670E"/>
    <w:rsid w:val="00317069"/>
    <w:rsid w:val="003236CA"/>
    <w:rsid w:val="00330F11"/>
    <w:rsid w:val="00333AFC"/>
    <w:rsid w:val="00337850"/>
    <w:rsid w:val="00337EA1"/>
    <w:rsid w:val="003451AA"/>
    <w:rsid w:val="00350A6D"/>
    <w:rsid w:val="00353EC0"/>
    <w:rsid w:val="00354DD4"/>
    <w:rsid w:val="00357A28"/>
    <w:rsid w:val="0036222D"/>
    <w:rsid w:val="00362A6C"/>
    <w:rsid w:val="00391EE3"/>
    <w:rsid w:val="00392756"/>
    <w:rsid w:val="003A1CC7"/>
    <w:rsid w:val="003B2838"/>
    <w:rsid w:val="003B6193"/>
    <w:rsid w:val="003D1C82"/>
    <w:rsid w:val="003D3C06"/>
    <w:rsid w:val="003D5407"/>
    <w:rsid w:val="003F2F1E"/>
    <w:rsid w:val="003F7F23"/>
    <w:rsid w:val="0040225D"/>
    <w:rsid w:val="00407A86"/>
    <w:rsid w:val="004131E2"/>
    <w:rsid w:val="00423F8F"/>
    <w:rsid w:val="00424054"/>
    <w:rsid w:val="00437B92"/>
    <w:rsid w:val="00442D29"/>
    <w:rsid w:val="00444389"/>
    <w:rsid w:val="004519A7"/>
    <w:rsid w:val="00452F09"/>
    <w:rsid w:val="004617C3"/>
    <w:rsid w:val="0046340D"/>
    <w:rsid w:val="00470510"/>
    <w:rsid w:val="00470AEF"/>
    <w:rsid w:val="00471074"/>
    <w:rsid w:val="00473137"/>
    <w:rsid w:val="00473A90"/>
    <w:rsid w:val="0048129B"/>
    <w:rsid w:val="0048553F"/>
    <w:rsid w:val="004865B1"/>
    <w:rsid w:val="0049064F"/>
    <w:rsid w:val="00497B3E"/>
    <w:rsid w:val="004A22AE"/>
    <w:rsid w:val="004A4186"/>
    <w:rsid w:val="004A51A3"/>
    <w:rsid w:val="004A70A2"/>
    <w:rsid w:val="004B1C9B"/>
    <w:rsid w:val="004B44BC"/>
    <w:rsid w:val="004C56C8"/>
    <w:rsid w:val="004C7D6F"/>
    <w:rsid w:val="004D0599"/>
    <w:rsid w:val="004D6EB5"/>
    <w:rsid w:val="004E169F"/>
    <w:rsid w:val="004E5826"/>
    <w:rsid w:val="00500B5C"/>
    <w:rsid w:val="00504025"/>
    <w:rsid w:val="005101D8"/>
    <w:rsid w:val="005116B4"/>
    <w:rsid w:val="00515EA9"/>
    <w:rsid w:val="00516A40"/>
    <w:rsid w:val="00531B89"/>
    <w:rsid w:val="00545534"/>
    <w:rsid w:val="005466F2"/>
    <w:rsid w:val="005602D6"/>
    <w:rsid w:val="00561208"/>
    <w:rsid w:val="005634FA"/>
    <w:rsid w:val="00566406"/>
    <w:rsid w:val="005740AB"/>
    <w:rsid w:val="0057614A"/>
    <w:rsid w:val="005818C0"/>
    <w:rsid w:val="00581B46"/>
    <w:rsid w:val="00582229"/>
    <w:rsid w:val="00583948"/>
    <w:rsid w:val="00587D44"/>
    <w:rsid w:val="0059104C"/>
    <w:rsid w:val="00591A6C"/>
    <w:rsid w:val="00593D76"/>
    <w:rsid w:val="0059608C"/>
    <w:rsid w:val="00597F0B"/>
    <w:rsid w:val="005A0065"/>
    <w:rsid w:val="005A505D"/>
    <w:rsid w:val="005A5611"/>
    <w:rsid w:val="005A680F"/>
    <w:rsid w:val="005A7FB3"/>
    <w:rsid w:val="005B168B"/>
    <w:rsid w:val="005B69C9"/>
    <w:rsid w:val="005C15D7"/>
    <w:rsid w:val="005C16DD"/>
    <w:rsid w:val="005E60B2"/>
    <w:rsid w:val="005F1910"/>
    <w:rsid w:val="00606976"/>
    <w:rsid w:val="00611C66"/>
    <w:rsid w:val="0061302B"/>
    <w:rsid w:val="00627C6B"/>
    <w:rsid w:val="006320DE"/>
    <w:rsid w:val="006335DF"/>
    <w:rsid w:val="00634512"/>
    <w:rsid w:val="00640B2B"/>
    <w:rsid w:val="00643491"/>
    <w:rsid w:val="00644090"/>
    <w:rsid w:val="00644278"/>
    <w:rsid w:val="006504C2"/>
    <w:rsid w:val="006548A6"/>
    <w:rsid w:val="00654EB5"/>
    <w:rsid w:val="00655E17"/>
    <w:rsid w:val="006617E8"/>
    <w:rsid w:val="006664E0"/>
    <w:rsid w:val="00667D5F"/>
    <w:rsid w:val="00667E91"/>
    <w:rsid w:val="00674244"/>
    <w:rsid w:val="00676B13"/>
    <w:rsid w:val="006836D7"/>
    <w:rsid w:val="00690260"/>
    <w:rsid w:val="006A57A1"/>
    <w:rsid w:val="006B0811"/>
    <w:rsid w:val="006B207E"/>
    <w:rsid w:val="006B58E1"/>
    <w:rsid w:val="006C20AC"/>
    <w:rsid w:val="006C6F25"/>
    <w:rsid w:val="006D2AE3"/>
    <w:rsid w:val="006D5164"/>
    <w:rsid w:val="006F19A1"/>
    <w:rsid w:val="006F4D13"/>
    <w:rsid w:val="006F7BEF"/>
    <w:rsid w:val="006F7FA0"/>
    <w:rsid w:val="0070057B"/>
    <w:rsid w:val="00700B58"/>
    <w:rsid w:val="00701525"/>
    <w:rsid w:val="007070A4"/>
    <w:rsid w:val="0071157D"/>
    <w:rsid w:val="00712C29"/>
    <w:rsid w:val="007130C4"/>
    <w:rsid w:val="007134A2"/>
    <w:rsid w:val="00717DF4"/>
    <w:rsid w:val="007271C6"/>
    <w:rsid w:val="007279AF"/>
    <w:rsid w:val="00732C34"/>
    <w:rsid w:val="00736DD8"/>
    <w:rsid w:val="0074563E"/>
    <w:rsid w:val="00756E99"/>
    <w:rsid w:val="00760121"/>
    <w:rsid w:val="00761C13"/>
    <w:rsid w:val="007723DF"/>
    <w:rsid w:val="0077627A"/>
    <w:rsid w:val="00776DB4"/>
    <w:rsid w:val="007909D4"/>
    <w:rsid w:val="00791CD7"/>
    <w:rsid w:val="00792DEA"/>
    <w:rsid w:val="0079513D"/>
    <w:rsid w:val="00796558"/>
    <w:rsid w:val="0079795C"/>
    <w:rsid w:val="007A0811"/>
    <w:rsid w:val="007A2A36"/>
    <w:rsid w:val="007A4FC8"/>
    <w:rsid w:val="007C4357"/>
    <w:rsid w:val="007C5ADA"/>
    <w:rsid w:val="007C6F6A"/>
    <w:rsid w:val="007D5302"/>
    <w:rsid w:val="007E1137"/>
    <w:rsid w:val="007E2415"/>
    <w:rsid w:val="007E462F"/>
    <w:rsid w:val="007E5D16"/>
    <w:rsid w:val="007F00CD"/>
    <w:rsid w:val="007F275C"/>
    <w:rsid w:val="008007FE"/>
    <w:rsid w:val="008226BF"/>
    <w:rsid w:val="00824762"/>
    <w:rsid w:val="008337FB"/>
    <w:rsid w:val="00834F74"/>
    <w:rsid w:val="00851021"/>
    <w:rsid w:val="00857B1D"/>
    <w:rsid w:val="0086740B"/>
    <w:rsid w:val="008705B2"/>
    <w:rsid w:val="00870BA1"/>
    <w:rsid w:val="00895096"/>
    <w:rsid w:val="008A150D"/>
    <w:rsid w:val="008A6736"/>
    <w:rsid w:val="008B367E"/>
    <w:rsid w:val="008B3766"/>
    <w:rsid w:val="008B7FF9"/>
    <w:rsid w:val="008C0B94"/>
    <w:rsid w:val="008C0EAD"/>
    <w:rsid w:val="008C2891"/>
    <w:rsid w:val="008C3EBC"/>
    <w:rsid w:val="008C4E61"/>
    <w:rsid w:val="008C72C4"/>
    <w:rsid w:val="008D1740"/>
    <w:rsid w:val="008D1936"/>
    <w:rsid w:val="008D53EE"/>
    <w:rsid w:val="008D5D7F"/>
    <w:rsid w:val="008E1CDE"/>
    <w:rsid w:val="00902DDE"/>
    <w:rsid w:val="00907720"/>
    <w:rsid w:val="00911D52"/>
    <w:rsid w:val="0091488A"/>
    <w:rsid w:val="009200C6"/>
    <w:rsid w:val="00922C17"/>
    <w:rsid w:val="00923670"/>
    <w:rsid w:val="00925481"/>
    <w:rsid w:val="0094322B"/>
    <w:rsid w:val="00944974"/>
    <w:rsid w:val="00945510"/>
    <w:rsid w:val="00954E9F"/>
    <w:rsid w:val="009602E4"/>
    <w:rsid w:val="00965450"/>
    <w:rsid w:val="0097250B"/>
    <w:rsid w:val="009737C1"/>
    <w:rsid w:val="00983FAD"/>
    <w:rsid w:val="009861F7"/>
    <w:rsid w:val="009B1492"/>
    <w:rsid w:val="009B3E4D"/>
    <w:rsid w:val="009D7FCD"/>
    <w:rsid w:val="009E1801"/>
    <w:rsid w:val="009E3BC8"/>
    <w:rsid w:val="009E6476"/>
    <w:rsid w:val="009F19C6"/>
    <w:rsid w:val="009F6BF9"/>
    <w:rsid w:val="00A03651"/>
    <w:rsid w:val="00A0404F"/>
    <w:rsid w:val="00A06EA8"/>
    <w:rsid w:val="00A07EA6"/>
    <w:rsid w:val="00A1720E"/>
    <w:rsid w:val="00A17804"/>
    <w:rsid w:val="00A230DC"/>
    <w:rsid w:val="00A30A8F"/>
    <w:rsid w:val="00A33885"/>
    <w:rsid w:val="00A3433B"/>
    <w:rsid w:val="00A4243B"/>
    <w:rsid w:val="00A5043D"/>
    <w:rsid w:val="00A5613D"/>
    <w:rsid w:val="00A640FD"/>
    <w:rsid w:val="00A641C3"/>
    <w:rsid w:val="00A73C77"/>
    <w:rsid w:val="00A74267"/>
    <w:rsid w:val="00A7431C"/>
    <w:rsid w:val="00A877B0"/>
    <w:rsid w:val="00A93DE5"/>
    <w:rsid w:val="00A94636"/>
    <w:rsid w:val="00AA5D3E"/>
    <w:rsid w:val="00AB0802"/>
    <w:rsid w:val="00AB238B"/>
    <w:rsid w:val="00AB4E83"/>
    <w:rsid w:val="00AC1A06"/>
    <w:rsid w:val="00AC3110"/>
    <w:rsid w:val="00AD15F0"/>
    <w:rsid w:val="00AD6469"/>
    <w:rsid w:val="00AE24ED"/>
    <w:rsid w:val="00AE269B"/>
    <w:rsid w:val="00AE4F28"/>
    <w:rsid w:val="00AE6BC0"/>
    <w:rsid w:val="00AE7703"/>
    <w:rsid w:val="00AF174C"/>
    <w:rsid w:val="00AF5432"/>
    <w:rsid w:val="00AF6E37"/>
    <w:rsid w:val="00B06409"/>
    <w:rsid w:val="00B15CD5"/>
    <w:rsid w:val="00B2121E"/>
    <w:rsid w:val="00B22519"/>
    <w:rsid w:val="00B23A64"/>
    <w:rsid w:val="00B268EE"/>
    <w:rsid w:val="00B3505C"/>
    <w:rsid w:val="00B42652"/>
    <w:rsid w:val="00B44E3C"/>
    <w:rsid w:val="00B45725"/>
    <w:rsid w:val="00B46808"/>
    <w:rsid w:val="00B51B32"/>
    <w:rsid w:val="00B54B34"/>
    <w:rsid w:val="00B60512"/>
    <w:rsid w:val="00B613AC"/>
    <w:rsid w:val="00B647F2"/>
    <w:rsid w:val="00B661C4"/>
    <w:rsid w:val="00B70FEF"/>
    <w:rsid w:val="00B71244"/>
    <w:rsid w:val="00B73CF4"/>
    <w:rsid w:val="00B74203"/>
    <w:rsid w:val="00B815F0"/>
    <w:rsid w:val="00B82712"/>
    <w:rsid w:val="00B86109"/>
    <w:rsid w:val="00B9121E"/>
    <w:rsid w:val="00B917C6"/>
    <w:rsid w:val="00B95FBD"/>
    <w:rsid w:val="00BB0ED0"/>
    <w:rsid w:val="00BB54DA"/>
    <w:rsid w:val="00BC01D1"/>
    <w:rsid w:val="00BC0E04"/>
    <w:rsid w:val="00BC1A30"/>
    <w:rsid w:val="00BC5371"/>
    <w:rsid w:val="00BC542B"/>
    <w:rsid w:val="00BD3B13"/>
    <w:rsid w:val="00BD5EAC"/>
    <w:rsid w:val="00BE0658"/>
    <w:rsid w:val="00BE2B5A"/>
    <w:rsid w:val="00BE40F9"/>
    <w:rsid w:val="00BE4E0E"/>
    <w:rsid w:val="00BE726B"/>
    <w:rsid w:val="00BF6894"/>
    <w:rsid w:val="00BF6C6D"/>
    <w:rsid w:val="00C008C5"/>
    <w:rsid w:val="00C0434D"/>
    <w:rsid w:val="00C049E6"/>
    <w:rsid w:val="00C07E5F"/>
    <w:rsid w:val="00C22048"/>
    <w:rsid w:val="00C226B7"/>
    <w:rsid w:val="00C271BC"/>
    <w:rsid w:val="00C319E7"/>
    <w:rsid w:val="00C33D4C"/>
    <w:rsid w:val="00C414AB"/>
    <w:rsid w:val="00C53FD3"/>
    <w:rsid w:val="00C549C2"/>
    <w:rsid w:val="00C60D2B"/>
    <w:rsid w:val="00C61A55"/>
    <w:rsid w:val="00C6388D"/>
    <w:rsid w:val="00C70409"/>
    <w:rsid w:val="00C859CA"/>
    <w:rsid w:val="00C86607"/>
    <w:rsid w:val="00C93AE5"/>
    <w:rsid w:val="00CA177E"/>
    <w:rsid w:val="00CA33AC"/>
    <w:rsid w:val="00CA3EC7"/>
    <w:rsid w:val="00CA4635"/>
    <w:rsid w:val="00CB144B"/>
    <w:rsid w:val="00CB1878"/>
    <w:rsid w:val="00CC2444"/>
    <w:rsid w:val="00CC3FC9"/>
    <w:rsid w:val="00CC558C"/>
    <w:rsid w:val="00CD4BA9"/>
    <w:rsid w:val="00CD7630"/>
    <w:rsid w:val="00CE72B5"/>
    <w:rsid w:val="00CF1B15"/>
    <w:rsid w:val="00CF27C2"/>
    <w:rsid w:val="00CF3B88"/>
    <w:rsid w:val="00CF58AD"/>
    <w:rsid w:val="00D052CF"/>
    <w:rsid w:val="00D12C38"/>
    <w:rsid w:val="00D15A4F"/>
    <w:rsid w:val="00D221D5"/>
    <w:rsid w:val="00D22291"/>
    <w:rsid w:val="00D327F8"/>
    <w:rsid w:val="00D3284F"/>
    <w:rsid w:val="00D3399B"/>
    <w:rsid w:val="00D37435"/>
    <w:rsid w:val="00D41784"/>
    <w:rsid w:val="00D51D9B"/>
    <w:rsid w:val="00D52243"/>
    <w:rsid w:val="00D5419E"/>
    <w:rsid w:val="00D54912"/>
    <w:rsid w:val="00D62B3D"/>
    <w:rsid w:val="00D65086"/>
    <w:rsid w:val="00D67B50"/>
    <w:rsid w:val="00D730F2"/>
    <w:rsid w:val="00D76E68"/>
    <w:rsid w:val="00D8281E"/>
    <w:rsid w:val="00D863BD"/>
    <w:rsid w:val="00D86DF3"/>
    <w:rsid w:val="00D9541A"/>
    <w:rsid w:val="00DA064D"/>
    <w:rsid w:val="00DB11B4"/>
    <w:rsid w:val="00DC7804"/>
    <w:rsid w:val="00DD021E"/>
    <w:rsid w:val="00DE5861"/>
    <w:rsid w:val="00DF54F8"/>
    <w:rsid w:val="00DF732D"/>
    <w:rsid w:val="00E0056E"/>
    <w:rsid w:val="00E03EAB"/>
    <w:rsid w:val="00E0402C"/>
    <w:rsid w:val="00E07529"/>
    <w:rsid w:val="00E1211B"/>
    <w:rsid w:val="00E12DE0"/>
    <w:rsid w:val="00E14339"/>
    <w:rsid w:val="00E2689F"/>
    <w:rsid w:val="00E42365"/>
    <w:rsid w:val="00E44930"/>
    <w:rsid w:val="00E45F8E"/>
    <w:rsid w:val="00E51E37"/>
    <w:rsid w:val="00E53F52"/>
    <w:rsid w:val="00E5714C"/>
    <w:rsid w:val="00E63475"/>
    <w:rsid w:val="00E6680C"/>
    <w:rsid w:val="00E669A0"/>
    <w:rsid w:val="00E75341"/>
    <w:rsid w:val="00E75458"/>
    <w:rsid w:val="00E85D59"/>
    <w:rsid w:val="00EA6B83"/>
    <w:rsid w:val="00EB3836"/>
    <w:rsid w:val="00EC5C6E"/>
    <w:rsid w:val="00ED17E9"/>
    <w:rsid w:val="00ED238C"/>
    <w:rsid w:val="00ED46AA"/>
    <w:rsid w:val="00ED6A2C"/>
    <w:rsid w:val="00EE4A0A"/>
    <w:rsid w:val="00EF33B9"/>
    <w:rsid w:val="00EF3F1A"/>
    <w:rsid w:val="00EF42FC"/>
    <w:rsid w:val="00EF6AD2"/>
    <w:rsid w:val="00F0147A"/>
    <w:rsid w:val="00F0349F"/>
    <w:rsid w:val="00F134D9"/>
    <w:rsid w:val="00F16368"/>
    <w:rsid w:val="00F22A10"/>
    <w:rsid w:val="00F251D0"/>
    <w:rsid w:val="00F2796B"/>
    <w:rsid w:val="00F32077"/>
    <w:rsid w:val="00F35C82"/>
    <w:rsid w:val="00F400F2"/>
    <w:rsid w:val="00F455BC"/>
    <w:rsid w:val="00F60924"/>
    <w:rsid w:val="00F60995"/>
    <w:rsid w:val="00F60F7C"/>
    <w:rsid w:val="00F70B4F"/>
    <w:rsid w:val="00F75675"/>
    <w:rsid w:val="00F75F4D"/>
    <w:rsid w:val="00F87D7A"/>
    <w:rsid w:val="00F90AA3"/>
    <w:rsid w:val="00F93F4F"/>
    <w:rsid w:val="00F97E65"/>
    <w:rsid w:val="00FA527A"/>
    <w:rsid w:val="00FB4425"/>
    <w:rsid w:val="00FC0EBA"/>
    <w:rsid w:val="00FC3FEB"/>
    <w:rsid w:val="00FC4682"/>
    <w:rsid w:val="00FD1CBA"/>
    <w:rsid w:val="00FD3DF8"/>
    <w:rsid w:val="00FD494E"/>
    <w:rsid w:val="00FE103F"/>
    <w:rsid w:val="00FE520C"/>
    <w:rsid w:val="00FF23F6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D12FBA"/>
  <w15:chartTrackingRefBased/>
  <w15:docId w15:val="{01998D8E-4C9A-4A03-A7C7-90C9544C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next w:val="Normal"/>
    <w:link w:val="PiedepginaCar"/>
    <w:uiPriority w:val="99"/>
    <w:rsid w:val="00717DF4"/>
    <w:pPr>
      <w:autoSpaceDE w:val="0"/>
      <w:autoSpaceDN w:val="0"/>
      <w:adjustRightInd w:val="0"/>
    </w:pPr>
    <w:rPr>
      <w:rFonts w:ascii="Arial-BoldMT" w:hAnsi="Arial-BoldMT" w:cs="Arial-BoldMT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DF4"/>
    <w:rPr>
      <w:rFonts w:ascii="Arial-BoldMT" w:eastAsia="Times New Roman" w:hAnsi="Arial-BoldMT" w:cs="Arial-BoldMT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17D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7DF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717DF4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717DF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1E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C82"/>
    <w:pPr>
      <w:spacing w:before="100" w:beforeAutospacing="1" w:after="100" w:afterAutospacing="1"/>
    </w:pPr>
    <w:rPr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3D1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</dc:creator>
  <cp:keywords/>
  <dc:description/>
  <cp:lastModifiedBy>Camilo Torres</cp:lastModifiedBy>
  <cp:revision>2</cp:revision>
  <dcterms:created xsi:type="dcterms:W3CDTF">2018-10-01T20:59:00Z</dcterms:created>
  <dcterms:modified xsi:type="dcterms:W3CDTF">2018-10-01T20:59:00Z</dcterms:modified>
</cp:coreProperties>
</file>