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9EC60" w14:textId="77777777" w:rsidR="00A15C0C" w:rsidRPr="00CE4606" w:rsidRDefault="00000000">
      <w:pPr>
        <w:spacing w:after="40"/>
        <w:rPr>
          <w:lang w:val="es-CO"/>
        </w:rPr>
      </w:pPr>
      <w:r w:rsidRPr="00CE4606">
        <w:rPr>
          <w:b/>
          <w:color w:val="2A78D6"/>
          <w:sz w:val="16"/>
          <w:lang w:val="es-CO"/>
        </w:rPr>
        <w:t>INFORME EJECUTIVO · MACHINE LEARNING APLICADO A SALUD</w:t>
      </w:r>
    </w:p>
    <w:p w14:paraId="4D3DFA10" w14:textId="77777777" w:rsidR="00A15C0C" w:rsidRPr="00CE4606" w:rsidRDefault="00000000">
      <w:pPr>
        <w:spacing w:after="40" w:line="240" w:lineRule="auto"/>
        <w:rPr>
          <w:lang w:val="es-CO"/>
        </w:rPr>
      </w:pPr>
      <w:r w:rsidRPr="00CE4606">
        <w:rPr>
          <w:b/>
          <w:sz w:val="38"/>
          <w:lang w:val="es-CO"/>
        </w:rPr>
        <w:t>Quién va a volver al hospital: un modelo para priorizar el seguimiento de pacientes diabéticos</w:t>
      </w:r>
    </w:p>
    <w:p w14:paraId="5DAF13D3" w14:textId="77777777" w:rsidR="00A15C0C" w:rsidRPr="00CE4606" w:rsidRDefault="00000000">
      <w:pPr>
        <w:spacing w:after="140"/>
        <w:rPr>
          <w:lang w:val="es-CO"/>
        </w:rPr>
      </w:pPr>
      <w:proofErr w:type="spellStart"/>
      <w:r w:rsidRPr="00CE4606">
        <w:rPr>
          <w:color w:val="52514E"/>
          <w:lang w:val="es-CO"/>
        </w:rPr>
        <w:t>Dataset</w:t>
      </w:r>
      <w:proofErr w:type="spellEnd"/>
      <w:r w:rsidRPr="00CE4606">
        <w:rPr>
          <w:color w:val="52514E"/>
          <w:lang w:val="es-CO"/>
        </w:rPr>
        <w:t xml:space="preserve"> </w:t>
      </w:r>
      <w:r w:rsidRPr="00CE4606">
        <w:rPr>
          <w:i/>
          <w:color w:val="52514E"/>
          <w:lang w:val="es-CO"/>
        </w:rPr>
        <w:t xml:space="preserve">Diabetes 130-US </w:t>
      </w:r>
      <w:proofErr w:type="spellStart"/>
      <w:r w:rsidRPr="00CE4606">
        <w:rPr>
          <w:i/>
          <w:color w:val="52514E"/>
          <w:lang w:val="es-CO"/>
        </w:rPr>
        <w:t>hospitals</w:t>
      </w:r>
      <w:proofErr w:type="spellEnd"/>
      <w:r w:rsidRPr="00CE4606">
        <w:rPr>
          <w:color w:val="52514E"/>
          <w:lang w:val="es-CO"/>
        </w:rPr>
        <w:t xml:space="preserve"> (1999–2008) · 69 987 pacientes · Modelos: KNN, DBSCAN y mezcla gaussiana</w:t>
      </w:r>
    </w:p>
    <w:p w14:paraId="20986197" w14:textId="77777777" w:rsidR="00A15C0C" w:rsidRPr="00CE4606" w:rsidRDefault="00000000">
      <w:pPr>
        <w:spacing w:after="140"/>
        <w:rPr>
          <w:lang w:val="es-CO"/>
        </w:rPr>
      </w:pPr>
      <w:r w:rsidRPr="00CE4606">
        <w:rPr>
          <w:sz w:val="21"/>
          <w:lang w:val="es-CO"/>
        </w:rPr>
        <w:t xml:space="preserve">En esta red de 130 hospitales, </w:t>
      </w:r>
      <w:r w:rsidRPr="00CE4606">
        <w:rPr>
          <w:b/>
          <w:sz w:val="21"/>
          <w:lang w:val="es-CO"/>
        </w:rPr>
        <w:t>9 de cada 100 pacientes diabéticos vuelven a ser hospitalizados en menos de 30 días</w:t>
      </w:r>
      <w:r w:rsidRPr="00CE4606">
        <w:rPr>
          <w:sz w:val="21"/>
          <w:lang w:val="es-CO"/>
        </w:rPr>
        <w:t xml:space="preserve">. Cada reingreso es costoso y parte de ellos podría evitarse con un buen seguimiento. Construimos un modelo que, con información administrativa de la hospitalización, </w:t>
      </w:r>
      <w:r w:rsidRPr="00CE4606">
        <w:rPr>
          <w:bCs/>
          <w:sz w:val="21"/>
          <w:lang w:val="es-CO"/>
        </w:rPr>
        <w:t>identifica a quién priorizar: el 10 % que señala como de mayor riesgo reingresa al doble de la tasa promedio.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70"/>
        <w:gridCol w:w="210"/>
        <w:gridCol w:w="2470"/>
        <w:gridCol w:w="210"/>
        <w:gridCol w:w="2470"/>
        <w:gridCol w:w="210"/>
        <w:gridCol w:w="2470"/>
      </w:tblGrid>
      <w:tr w:rsidR="00A15C0C" w:rsidRPr="00CE4606" w14:paraId="7B423D60" w14:textId="77777777">
        <w:trPr>
          <w:jc w:val="center"/>
        </w:trPr>
        <w:tc>
          <w:tcPr>
            <w:tcW w:w="2470" w:type="dxa"/>
            <w:tcBorders>
              <w:top w:val="nil"/>
              <w:left w:val="nil"/>
              <w:bottom w:val="nil"/>
              <w:right w:val="nil"/>
            </w:tcBorders>
            <w:shd w:val="clear" w:color="auto" w:fill="F5F4F0"/>
            <w:tcMar>
              <w:top w:w="90" w:type="dxa"/>
              <w:left w:w="110" w:type="dxa"/>
              <w:bottom w:w="90" w:type="dxa"/>
              <w:right w:w="90" w:type="dxa"/>
            </w:tcMar>
          </w:tcPr>
          <w:p w14:paraId="10E4B2D4" w14:textId="77777777" w:rsidR="00A15C0C" w:rsidRPr="00CE4606" w:rsidRDefault="00000000">
            <w:pPr>
              <w:spacing w:after="0"/>
              <w:rPr>
                <w:lang w:val="es-CO"/>
              </w:rPr>
            </w:pPr>
            <w:r w:rsidRPr="00CE4606">
              <w:rPr>
                <w:b/>
                <w:color w:val="EB6834"/>
                <w:sz w:val="40"/>
                <w:lang w:val="es-CO"/>
              </w:rPr>
              <w:t>18.9 %</w:t>
            </w:r>
          </w:p>
          <w:p w14:paraId="30AD21BE" w14:textId="77777777" w:rsidR="00A15C0C" w:rsidRPr="00CE4606" w:rsidRDefault="00000000">
            <w:pPr>
              <w:spacing w:after="0"/>
              <w:rPr>
                <w:lang w:val="es-CO"/>
              </w:rPr>
            </w:pPr>
            <w:r w:rsidRPr="00CE4606">
              <w:rPr>
                <w:color w:val="52514E"/>
                <w:sz w:val="15"/>
                <w:lang w:val="es-CO"/>
              </w:rPr>
              <w:t>reingresa entre el 10 % de pacientes que el modelo marca como de mayor riesgo (IC 95 %: 17.0–21.0; promedio: 9.0 %)</w:t>
            </w:r>
          </w:p>
        </w:tc>
        <w:tc>
          <w:tcPr>
            <w:tcW w:w="21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F44EBC" w14:textId="77777777" w:rsidR="00A15C0C" w:rsidRPr="00CE4606" w:rsidRDefault="00A15C0C">
            <w:pPr>
              <w:rPr>
                <w:lang w:val="es-CO"/>
              </w:rPr>
            </w:pPr>
          </w:p>
        </w:tc>
        <w:tc>
          <w:tcPr>
            <w:tcW w:w="2470" w:type="dxa"/>
            <w:tcBorders>
              <w:top w:val="nil"/>
              <w:left w:val="nil"/>
              <w:bottom w:val="nil"/>
              <w:right w:val="nil"/>
            </w:tcBorders>
            <w:shd w:val="clear" w:color="auto" w:fill="F5F4F0"/>
            <w:tcMar>
              <w:top w:w="90" w:type="dxa"/>
              <w:left w:w="110" w:type="dxa"/>
              <w:bottom w:w="90" w:type="dxa"/>
              <w:right w:w="90" w:type="dxa"/>
            </w:tcMar>
          </w:tcPr>
          <w:p w14:paraId="437D84E6" w14:textId="77777777" w:rsidR="00A15C0C" w:rsidRPr="00CE4606" w:rsidRDefault="00000000">
            <w:pPr>
              <w:spacing w:after="0"/>
              <w:rPr>
                <w:lang w:val="es-CO"/>
              </w:rPr>
            </w:pPr>
            <w:r w:rsidRPr="00CE4606">
              <w:rPr>
                <w:b/>
                <w:sz w:val="40"/>
                <w:lang w:val="es-CO"/>
              </w:rPr>
              <w:t>49 %</w:t>
            </w:r>
          </w:p>
          <w:p w14:paraId="4160361C" w14:textId="77777777" w:rsidR="00A15C0C" w:rsidRPr="00CE4606" w:rsidRDefault="00000000">
            <w:pPr>
              <w:spacing w:after="0"/>
              <w:rPr>
                <w:lang w:val="es-CO"/>
              </w:rPr>
            </w:pPr>
            <w:r w:rsidRPr="00CE4606">
              <w:rPr>
                <w:color w:val="52514E"/>
                <w:sz w:val="15"/>
                <w:lang w:val="es-CO"/>
              </w:rPr>
              <w:t>de todos los reingresos quedan cubiertos contactando solo al 31 % de los pacientes</w:t>
            </w:r>
          </w:p>
        </w:tc>
        <w:tc>
          <w:tcPr>
            <w:tcW w:w="21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089FBF" w14:textId="77777777" w:rsidR="00A15C0C" w:rsidRPr="00CE4606" w:rsidRDefault="00A15C0C">
            <w:pPr>
              <w:rPr>
                <w:lang w:val="es-CO"/>
              </w:rPr>
            </w:pPr>
          </w:p>
        </w:tc>
        <w:tc>
          <w:tcPr>
            <w:tcW w:w="2470" w:type="dxa"/>
            <w:tcBorders>
              <w:top w:val="nil"/>
              <w:left w:val="nil"/>
              <w:bottom w:val="nil"/>
              <w:right w:val="nil"/>
            </w:tcBorders>
            <w:shd w:val="clear" w:color="auto" w:fill="F5F4F0"/>
            <w:tcMar>
              <w:top w:w="90" w:type="dxa"/>
              <w:left w:w="110" w:type="dxa"/>
              <w:bottom w:w="90" w:type="dxa"/>
              <w:right w:w="90" w:type="dxa"/>
            </w:tcMar>
          </w:tcPr>
          <w:p w14:paraId="1CE5387B" w14:textId="77777777" w:rsidR="00A15C0C" w:rsidRPr="00CE4606" w:rsidRDefault="00000000">
            <w:pPr>
              <w:spacing w:after="0"/>
              <w:rPr>
                <w:lang w:val="es-CO"/>
              </w:rPr>
            </w:pPr>
            <w:r w:rsidRPr="00CE4606">
              <w:rPr>
                <w:b/>
                <w:sz w:val="40"/>
                <w:lang w:val="es-CO"/>
              </w:rPr>
              <w:t>0.64</w:t>
            </w:r>
          </w:p>
          <w:p w14:paraId="20B49536" w14:textId="77777777" w:rsidR="00A15C0C" w:rsidRPr="00CE4606" w:rsidRDefault="00000000">
            <w:pPr>
              <w:spacing w:after="0"/>
              <w:rPr>
                <w:lang w:val="es-CO"/>
              </w:rPr>
            </w:pPr>
            <w:r w:rsidRPr="00CE4606">
              <w:rPr>
                <w:color w:val="52514E"/>
                <w:sz w:val="15"/>
                <w:lang w:val="es-CO"/>
              </w:rPr>
              <w:t>AUC en pacientes nunca vistos (IC 95 %: 0.62–0.66), dentro del rango publicado para este problema</w:t>
            </w:r>
          </w:p>
        </w:tc>
        <w:tc>
          <w:tcPr>
            <w:tcW w:w="21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CCF9E1" w14:textId="77777777" w:rsidR="00A15C0C" w:rsidRPr="00CE4606" w:rsidRDefault="00A15C0C">
            <w:pPr>
              <w:rPr>
                <w:lang w:val="es-CO"/>
              </w:rPr>
            </w:pPr>
          </w:p>
        </w:tc>
        <w:tc>
          <w:tcPr>
            <w:tcW w:w="2470" w:type="dxa"/>
            <w:tcBorders>
              <w:top w:val="nil"/>
              <w:left w:val="nil"/>
              <w:bottom w:val="nil"/>
              <w:right w:val="nil"/>
            </w:tcBorders>
            <w:shd w:val="clear" w:color="auto" w:fill="F5F4F0"/>
            <w:tcMar>
              <w:top w:w="90" w:type="dxa"/>
              <w:left w:w="110" w:type="dxa"/>
              <w:bottom w:w="90" w:type="dxa"/>
              <w:right w:w="90" w:type="dxa"/>
            </w:tcMar>
          </w:tcPr>
          <w:p w14:paraId="349B0E98" w14:textId="77777777" w:rsidR="00A15C0C" w:rsidRPr="00CE4606" w:rsidRDefault="00000000">
            <w:pPr>
              <w:spacing w:after="0"/>
              <w:rPr>
                <w:lang w:val="es-CO"/>
              </w:rPr>
            </w:pPr>
            <w:r w:rsidRPr="00CE4606">
              <w:rPr>
                <w:b/>
                <w:sz w:val="40"/>
                <w:lang w:val="es-CO"/>
              </w:rPr>
              <w:t>≈ 2×</w:t>
            </w:r>
          </w:p>
          <w:p w14:paraId="3B8BBF9A" w14:textId="77777777" w:rsidR="00A15C0C" w:rsidRPr="00CE4606" w:rsidRDefault="00000000">
            <w:pPr>
              <w:spacing w:after="0"/>
              <w:rPr>
                <w:lang w:val="es-CO"/>
              </w:rPr>
            </w:pPr>
            <w:r w:rsidRPr="00CE4606">
              <w:rPr>
                <w:color w:val="52514E"/>
                <w:sz w:val="15"/>
                <w:lang w:val="es-CO"/>
              </w:rPr>
              <w:t>ahorro neto frente a la mejor política sin modelo, con 7 veces menos gasto (supuestos de costo ilustrativos)</w:t>
            </w:r>
          </w:p>
        </w:tc>
      </w:tr>
    </w:tbl>
    <w:p w14:paraId="37398230" w14:textId="77777777" w:rsidR="00A15C0C" w:rsidRPr="00CE4606" w:rsidRDefault="00A15C0C">
      <w:pPr>
        <w:spacing w:after="20"/>
        <w:rPr>
          <w:lang w:val="es-CO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12"/>
      </w:tblGrid>
      <w:tr w:rsidR="00A15C0C" w:rsidRPr="00CE4606" w14:paraId="7F25A71D" w14:textId="77777777">
        <w:trPr>
          <w:jc w:val="center"/>
        </w:trPr>
        <w:tc>
          <w:tcPr>
            <w:tcW w:w="10512" w:type="dxa"/>
            <w:tcBorders>
              <w:top w:val="nil"/>
              <w:left w:val="single" w:sz="28" w:space="0" w:color="EB6834"/>
              <w:bottom w:val="nil"/>
              <w:right w:val="nil"/>
            </w:tcBorders>
            <w:shd w:val="clear" w:color="auto" w:fill="FDF1EB"/>
            <w:tcMar>
              <w:top w:w="90" w:type="dxa"/>
              <w:left w:w="150" w:type="dxa"/>
              <w:bottom w:w="90" w:type="dxa"/>
              <w:right w:w="120" w:type="dxa"/>
            </w:tcMar>
          </w:tcPr>
          <w:p w14:paraId="34443E16" w14:textId="77777777" w:rsidR="00A15C0C" w:rsidRPr="00CE4606" w:rsidRDefault="00000000">
            <w:pPr>
              <w:spacing w:after="0"/>
              <w:rPr>
                <w:lang w:val="es-CO"/>
              </w:rPr>
            </w:pPr>
            <w:r w:rsidRPr="00CE4606">
              <w:rPr>
                <w:b/>
                <w:sz w:val="18"/>
                <w:lang w:val="es-CO"/>
              </w:rPr>
              <w:t>Recomendación: seguimiento en dos niveles según el riesgo</w:t>
            </w:r>
          </w:p>
          <w:p w14:paraId="390E92E1" w14:textId="77777777" w:rsidR="00A15C0C" w:rsidRPr="00CE4606" w:rsidRDefault="00000000">
            <w:pPr>
              <w:spacing w:after="0"/>
              <w:rPr>
                <w:lang w:val="es-CO"/>
              </w:rPr>
            </w:pPr>
            <w:r w:rsidRPr="00CE4606">
              <w:rPr>
                <w:b/>
                <w:sz w:val="18"/>
                <w:lang w:val="es-CO"/>
              </w:rPr>
              <w:t>Cita presencial</w:t>
            </w:r>
            <w:r w:rsidRPr="00CE4606">
              <w:rPr>
                <w:sz w:val="18"/>
                <w:lang w:val="es-CO"/>
              </w:rPr>
              <w:t xml:space="preserve"> para el 10 % de mayor riesgo, </w:t>
            </w:r>
            <w:r w:rsidRPr="00CE4606">
              <w:rPr>
                <w:b/>
                <w:sz w:val="18"/>
                <w:lang w:val="es-CO"/>
              </w:rPr>
              <w:t>teleconsulta</w:t>
            </w:r>
            <w:r w:rsidRPr="00CE4606">
              <w:rPr>
                <w:sz w:val="18"/>
                <w:lang w:val="es-CO"/>
              </w:rPr>
              <w:t xml:space="preserve"> para el 20 % siguiente y alta habitual para el resto. La intervención cara se concentra donde más rinde; la barata amplía la cobertura. En el análisis de sensibilidad, la propuesta ahorra dinero en </w:t>
            </w:r>
            <w:r w:rsidRPr="00CE4606">
              <w:rPr>
                <w:b/>
                <w:sz w:val="18"/>
                <w:lang w:val="es-CO"/>
              </w:rPr>
              <w:t>11 de 12 escenarios</w:t>
            </w:r>
            <w:r w:rsidRPr="00CE4606">
              <w:rPr>
                <w:sz w:val="18"/>
                <w:lang w:val="es-CO"/>
              </w:rPr>
              <w:t xml:space="preserve"> de efectividad.</w:t>
            </w:r>
          </w:p>
        </w:tc>
      </w:tr>
    </w:tbl>
    <w:p w14:paraId="6288FA85" w14:textId="77777777" w:rsidR="00A15C0C" w:rsidRPr="00CE4606" w:rsidRDefault="00A15C0C">
      <w:pPr>
        <w:spacing w:after="20"/>
        <w:rPr>
          <w:lang w:val="es-CO"/>
        </w:rPr>
      </w:pPr>
    </w:p>
    <w:p w14:paraId="3BFFAB3D" w14:textId="77777777" w:rsidR="00A15C0C" w:rsidRDefault="00000000">
      <w:pPr>
        <w:spacing w:after="20"/>
      </w:pPr>
      <w:r>
        <w:rPr>
          <w:noProof/>
        </w:rPr>
        <w:drawing>
          <wp:inline distT="0" distB="0" distL="0" distR="0" wp14:anchorId="29EF1331" wp14:editId="53BFFA11">
            <wp:extent cx="5760720" cy="176939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_nivele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6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924B7" w14:textId="77777777" w:rsidR="00A15C0C" w:rsidRPr="00CE4606" w:rsidRDefault="00000000">
      <w:pPr>
        <w:rPr>
          <w:lang w:val="es-CO"/>
        </w:rPr>
      </w:pPr>
      <w:r w:rsidRPr="00CE4606">
        <w:rPr>
          <w:color w:val="52514E"/>
          <w:sz w:val="15"/>
          <w:lang w:val="es-CO"/>
        </w:rPr>
        <w:t>Reingreso a 30 días por nivel de seguimiento, medido en el 20 % de pacientes reservado para la prueba final. Los cortes de riesgo se fijaron solo con datos de entrenamiento.</w:t>
      </w:r>
    </w:p>
    <w:p w14:paraId="28E26D5A" w14:textId="77777777" w:rsidR="00A15C0C" w:rsidRDefault="00000000">
      <w:pPr>
        <w:spacing w:before="60" w:after="40"/>
      </w:pPr>
      <w:proofErr w:type="spellStart"/>
      <w:r>
        <w:rPr>
          <w:b/>
          <w:sz w:val="20"/>
        </w:rPr>
        <w:t>Qué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aportó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cada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modelo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61"/>
        <w:gridCol w:w="2943"/>
        <w:gridCol w:w="6307"/>
      </w:tblGrid>
      <w:tr w:rsidR="00A15C0C" w14:paraId="4A4CB985" w14:textId="77777777">
        <w:trPr>
          <w:jc w:val="center"/>
        </w:trPr>
        <w:tc>
          <w:tcPr>
            <w:tcW w:w="1261" w:type="dxa"/>
            <w:tcBorders>
              <w:top w:val="nil"/>
              <w:left w:val="nil"/>
              <w:bottom w:val="single" w:sz="8" w:space="0" w:color="1D1D1B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89EC9E" w14:textId="77777777" w:rsidR="00A15C0C" w:rsidRDefault="00000000">
            <w:pPr>
              <w:spacing w:after="0"/>
            </w:pPr>
            <w:r>
              <w:rPr>
                <w:b/>
                <w:color w:val="52514E"/>
                <w:sz w:val="15"/>
              </w:rPr>
              <w:t>Modelo</w:t>
            </w:r>
          </w:p>
        </w:tc>
        <w:tc>
          <w:tcPr>
            <w:tcW w:w="2943" w:type="dxa"/>
            <w:tcBorders>
              <w:top w:val="nil"/>
              <w:left w:val="nil"/>
              <w:bottom w:val="single" w:sz="8" w:space="0" w:color="1D1D1B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47117B" w14:textId="77777777" w:rsidR="00A15C0C" w:rsidRDefault="00000000">
            <w:pPr>
              <w:spacing w:after="0"/>
            </w:pPr>
            <w:r>
              <w:rPr>
                <w:b/>
                <w:color w:val="52514E"/>
                <w:sz w:val="15"/>
              </w:rPr>
              <w:t>Pregunta</w:t>
            </w:r>
          </w:p>
        </w:tc>
        <w:tc>
          <w:tcPr>
            <w:tcW w:w="6307" w:type="dxa"/>
            <w:tcBorders>
              <w:top w:val="nil"/>
              <w:left w:val="nil"/>
              <w:bottom w:val="single" w:sz="8" w:space="0" w:color="1D1D1B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76A2B5" w14:textId="77777777" w:rsidR="00A15C0C" w:rsidRDefault="00000000">
            <w:pPr>
              <w:spacing w:after="0"/>
            </w:pPr>
            <w:r>
              <w:rPr>
                <w:b/>
                <w:color w:val="52514E"/>
                <w:sz w:val="15"/>
              </w:rPr>
              <w:t>Resultado</w:t>
            </w:r>
          </w:p>
        </w:tc>
      </w:tr>
      <w:tr w:rsidR="00A15C0C" w:rsidRPr="00CE4606" w14:paraId="2E8D5141" w14:textId="77777777">
        <w:trPr>
          <w:jc w:val="center"/>
        </w:trPr>
        <w:tc>
          <w:tcPr>
            <w:tcW w:w="1261" w:type="dxa"/>
            <w:tcBorders>
              <w:top w:val="nil"/>
              <w:left w:val="nil"/>
              <w:bottom w:val="single" w:sz="4" w:space="0" w:color="E2E1DC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75ECE5" w14:textId="77777777" w:rsidR="00A15C0C" w:rsidRDefault="00000000">
            <w:pPr>
              <w:spacing w:after="0"/>
            </w:pPr>
            <w:r>
              <w:rPr>
                <w:b/>
                <w:sz w:val="16"/>
              </w:rPr>
              <w:t>KNN</w:t>
            </w:r>
          </w:p>
        </w:tc>
        <w:tc>
          <w:tcPr>
            <w:tcW w:w="2943" w:type="dxa"/>
            <w:tcBorders>
              <w:top w:val="nil"/>
              <w:left w:val="nil"/>
              <w:bottom w:val="single" w:sz="4" w:space="0" w:color="E2E1DC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0DF544" w14:textId="77777777" w:rsidR="00A15C0C" w:rsidRPr="00CE4606" w:rsidRDefault="00000000">
            <w:pPr>
              <w:spacing w:after="0"/>
              <w:rPr>
                <w:lang w:val="es-CO"/>
              </w:rPr>
            </w:pPr>
            <w:r w:rsidRPr="00CE4606">
              <w:rPr>
                <w:sz w:val="16"/>
                <w:lang w:val="es-CO"/>
              </w:rPr>
              <w:t>¿Qué paciente va a reingresar?</w:t>
            </w:r>
          </w:p>
        </w:tc>
        <w:tc>
          <w:tcPr>
            <w:tcW w:w="6307" w:type="dxa"/>
            <w:tcBorders>
              <w:top w:val="nil"/>
              <w:left w:val="nil"/>
              <w:bottom w:val="single" w:sz="4" w:space="0" w:color="E2E1DC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871714" w14:textId="77777777" w:rsidR="00A15C0C" w:rsidRPr="00CE4606" w:rsidRDefault="00000000">
            <w:pPr>
              <w:spacing w:after="0"/>
              <w:rPr>
                <w:lang w:val="es-CO"/>
              </w:rPr>
            </w:pPr>
            <w:r w:rsidRPr="00CE4606">
              <w:rPr>
                <w:sz w:val="16"/>
                <w:lang w:val="es-CO"/>
              </w:rPr>
              <w:t>AUC 0.64, en línea con la literatura. Es la base de la propuesta de seguimiento, con probabilidades recalibradas para leerse como riesgo real.</w:t>
            </w:r>
          </w:p>
        </w:tc>
      </w:tr>
      <w:tr w:rsidR="00A15C0C" w:rsidRPr="00CE4606" w14:paraId="1CDFB806" w14:textId="77777777">
        <w:trPr>
          <w:jc w:val="center"/>
        </w:trPr>
        <w:tc>
          <w:tcPr>
            <w:tcW w:w="1261" w:type="dxa"/>
            <w:tcBorders>
              <w:top w:val="nil"/>
              <w:left w:val="nil"/>
              <w:bottom w:val="single" w:sz="4" w:space="0" w:color="E2E1DC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72EF2B" w14:textId="77777777" w:rsidR="00A15C0C" w:rsidRDefault="00000000">
            <w:pPr>
              <w:spacing w:after="0"/>
            </w:pPr>
            <w:r>
              <w:rPr>
                <w:b/>
                <w:sz w:val="16"/>
              </w:rPr>
              <w:t>DBSCAN</w:t>
            </w:r>
          </w:p>
        </w:tc>
        <w:tc>
          <w:tcPr>
            <w:tcW w:w="2943" w:type="dxa"/>
            <w:tcBorders>
              <w:top w:val="nil"/>
              <w:left w:val="nil"/>
              <w:bottom w:val="single" w:sz="4" w:space="0" w:color="E2E1DC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4E4C8B" w14:textId="77777777" w:rsidR="00A15C0C" w:rsidRPr="00CE4606" w:rsidRDefault="00000000">
            <w:pPr>
              <w:spacing w:after="0"/>
              <w:rPr>
                <w:lang w:val="es-CO"/>
              </w:rPr>
            </w:pPr>
            <w:r w:rsidRPr="00CE4606">
              <w:rPr>
                <w:sz w:val="16"/>
                <w:lang w:val="es-CO"/>
              </w:rPr>
              <w:t>¿Existen grupos naturales de pacientes?</w:t>
            </w:r>
          </w:p>
        </w:tc>
        <w:tc>
          <w:tcPr>
            <w:tcW w:w="6307" w:type="dxa"/>
            <w:tcBorders>
              <w:top w:val="nil"/>
              <w:left w:val="nil"/>
              <w:bottom w:val="single" w:sz="4" w:space="0" w:color="E2E1DC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DB3727" w14:textId="77777777" w:rsidR="00A15C0C" w:rsidRPr="00CE4606" w:rsidRDefault="00000000">
            <w:pPr>
              <w:spacing w:after="0"/>
              <w:rPr>
                <w:lang w:val="es-CO"/>
              </w:rPr>
            </w:pPr>
            <w:r w:rsidRPr="00CE4606">
              <w:rPr>
                <w:b/>
                <w:sz w:val="16"/>
                <w:lang w:val="es-CO"/>
              </w:rPr>
              <w:t>No.</w:t>
            </w:r>
            <w:r w:rsidRPr="00CE4606">
              <w:rPr>
                <w:sz w:val="16"/>
                <w:lang w:val="es-CO"/>
              </w:rPr>
              <w:t xml:space="preserve"> Con la métrica adecuada (DBCV) no hay </w:t>
            </w:r>
            <w:proofErr w:type="spellStart"/>
            <w:proofErr w:type="gramStart"/>
            <w:r w:rsidRPr="00CE4606">
              <w:rPr>
                <w:sz w:val="16"/>
                <w:lang w:val="es-CO"/>
              </w:rPr>
              <w:t>clusters</w:t>
            </w:r>
            <w:proofErr w:type="spellEnd"/>
            <w:proofErr w:type="gramEnd"/>
            <w:r w:rsidRPr="00CE4606">
              <w:rPr>
                <w:sz w:val="16"/>
                <w:lang w:val="es-CO"/>
              </w:rPr>
              <w:t xml:space="preserve"> por densidad; los grupos aparentes eran artefactos de variables discretas.</w:t>
            </w:r>
          </w:p>
        </w:tc>
      </w:tr>
      <w:tr w:rsidR="00A15C0C" w14:paraId="51280693" w14:textId="77777777">
        <w:trPr>
          <w:jc w:val="center"/>
        </w:trPr>
        <w:tc>
          <w:tcPr>
            <w:tcW w:w="1261" w:type="dxa"/>
            <w:tcBorders>
              <w:top w:val="nil"/>
              <w:left w:val="nil"/>
              <w:bottom w:val="single" w:sz="4" w:space="0" w:color="E2E1DC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A38463" w14:textId="77777777" w:rsidR="00A15C0C" w:rsidRDefault="00000000">
            <w:pPr>
              <w:spacing w:after="0"/>
            </w:pPr>
            <w:r>
              <w:rPr>
                <w:b/>
                <w:sz w:val="16"/>
              </w:rPr>
              <w:t>GMM</w:t>
            </w:r>
          </w:p>
        </w:tc>
        <w:tc>
          <w:tcPr>
            <w:tcW w:w="2943" w:type="dxa"/>
            <w:tcBorders>
              <w:top w:val="nil"/>
              <w:left w:val="nil"/>
              <w:bottom w:val="single" w:sz="4" w:space="0" w:color="E2E1DC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1AAB60" w14:textId="77777777" w:rsidR="00A15C0C" w:rsidRPr="00CE4606" w:rsidRDefault="00000000">
            <w:pPr>
              <w:spacing w:after="0"/>
              <w:rPr>
                <w:lang w:val="es-CO"/>
              </w:rPr>
            </w:pPr>
            <w:r w:rsidRPr="00CE4606">
              <w:rPr>
                <w:sz w:val="16"/>
                <w:lang w:val="es-CO"/>
              </w:rPr>
              <w:t>¿Qué tipos de hospitalización hay?</w:t>
            </w:r>
          </w:p>
        </w:tc>
        <w:tc>
          <w:tcPr>
            <w:tcW w:w="6307" w:type="dxa"/>
            <w:tcBorders>
              <w:top w:val="nil"/>
              <w:left w:val="nil"/>
              <w:bottom w:val="single" w:sz="4" w:space="0" w:color="E2E1DC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2D3A72" w14:textId="77777777" w:rsidR="00A15C0C" w:rsidRDefault="00000000">
            <w:pPr>
              <w:spacing w:after="0"/>
            </w:pPr>
            <w:r w:rsidRPr="00CE4606">
              <w:rPr>
                <w:sz w:val="16"/>
                <w:lang w:val="es-CO"/>
              </w:rPr>
              <w:t xml:space="preserve">4 perfiles estables (ARI 0.88 entre réplicas), con reingreso de 7.0 % a 10.9 %. </w:t>
            </w:r>
            <w:proofErr w:type="spellStart"/>
            <w:r>
              <w:rPr>
                <w:sz w:val="16"/>
              </w:rPr>
              <w:t>Útiles</w:t>
            </w:r>
            <w:proofErr w:type="spellEnd"/>
            <w:r>
              <w:rPr>
                <w:sz w:val="16"/>
              </w:rPr>
              <w:t xml:space="preserve"> para </w:t>
            </w:r>
            <w:proofErr w:type="spellStart"/>
            <w:r>
              <w:rPr>
                <w:sz w:val="16"/>
              </w:rPr>
              <w:t>describir</w:t>
            </w:r>
            <w:proofErr w:type="spellEnd"/>
            <w:r>
              <w:rPr>
                <w:sz w:val="16"/>
              </w:rPr>
              <w:t>, no para predecir.</w:t>
            </w:r>
          </w:p>
        </w:tc>
      </w:tr>
    </w:tbl>
    <w:p>
      <w:pPr>
        <w:spacing w:before="120" w:after="60"/>
      </w:pPr>
      <w:r>
        <w:rPr>
          <w:b/>
          <w:i w:val="0"/>
          <w:sz w:val="20"/>
        </w:rPr>
        <w:t>Qué significa por cada 1 000 pacientes dados de alta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>
        <w:tc>
          <w:tcPr>
            <w:tcW w:type="dxa" w:w="2365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5F4F0"/>
            <w:tcMar>
              <w:top w:w="80" w:type="dxa"/>
              <w:bottom w:w="80" w:type="dxa"/>
              <w:left w:w="10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i w:val="0"/>
                <w:sz w:val="36"/>
              </w:rPr>
              <w:t>90</w:t>
            </w:r>
          </w:p>
          <w:p>
            <w:pPr>
              <w:spacing w:after="0"/>
            </w:pPr>
            <w:r>
              <w:rPr>
                <w:b w:val="0"/>
                <w:i w:val="0"/>
                <w:color w:val="52514E"/>
                <w:sz w:val="15"/>
              </w:rPr>
              <w:t>reingresarían en menos de 30 días si no se hace nada</w:t>
            </w:r>
          </w:p>
        </w:tc>
        <w:tc>
          <w:tcPr>
            <w:tcW w:type="dxa" w:w="347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52514E"/>
                <w:sz w:val="26"/>
              </w:rPr>
              <w:t>→</w:t>
            </w:r>
          </w:p>
        </w:tc>
        <w:tc>
          <w:tcPr>
            <w:tcW w:type="dxa" w:w="2365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5F4F0"/>
            <w:tcMar>
              <w:top w:w="80" w:type="dxa"/>
              <w:bottom w:w="80" w:type="dxa"/>
              <w:left w:w="10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2A78D6"/>
                <w:sz w:val="36"/>
              </w:rPr>
              <w:t>314</w:t>
            </w:r>
          </w:p>
          <w:p>
            <w:pPr>
              <w:spacing w:after="0"/>
            </w:pPr>
            <w:r>
              <w:rPr>
                <w:b w:val="0"/>
                <w:i w:val="0"/>
                <w:color w:val="52514E"/>
                <w:sz w:val="15"/>
              </w:rPr>
              <w:t>reciben seguimiento: ~107 citas presenciales y ~207 teleconsultas</w:t>
            </w:r>
          </w:p>
        </w:tc>
        <w:tc>
          <w:tcPr>
            <w:tcW w:type="dxa" w:w="347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52514E"/>
                <w:sz w:val="26"/>
              </w:rPr>
              <w:t>→</w:t>
            </w:r>
          </w:p>
        </w:tc>
        <w:tc>
          <w:tcPr>
            <w:tcW w:type="dxa" w:w="2365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5F4F0"/>
            <w:tcMar>
              <w:top w:w="80" w:type="dxa"/>
              <w:bottom w:w="80" w:type="dxa"/>
              <w:left w:w="10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EB6834"/>
                <w:sz w:val="36"/>
              </w:rPr>
              <w:t>44 de 90</w:t>
            </w:r>
          </w:p>
          <w:p>
            <w:pPr>
              <w:spacing w:after="0"/>
            </w:pPr>
            <w:r>
              <w:rPr>
                <w:b w:val="0"/>
                <w:i w:val="0"/>
                <w:color w:val="52514E"/>
                <w:sz w:val="15"/>
              </w:rPr>
              <w:t>pacientes que iban a reingresar ya están en seguimiento antes de volver</w:t>
            </w:r>
          </w:p>
        </w:tc>
        <w:tc>
          <w:tcPr>
            <w:tcW w:type="dxa" w:w="347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52514E"/>
                <w:sz w:val="26"/>
              </w:rPr>
              <w:t>→</w:t>
            </w:r>
          </w:p>
        </w:tc>
        <w:tc>
          <w:tcPr>
            <w:tcW w:type="dxa" w:w="2376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5F4F0"/>
            <w:tcMar>
              <w:top w:w="80" w:type="dxa"/>
              <w:bottom w:w="80" w:type="dxa"/>
              <w:left w:w="10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i w:val="0"/>
                <w:sz w:val="36"/>
              </w:rPr>
              <w:t>≈ 5</w:t>
            </w:r>
          </w:p>
          <w:p>
            <w:pPr>
              <w:spacing w:after="0"/>
            </w:pPr>
            <w:r>
              <w:rPr>
                <w:b w:val="0"/>
                <w:i w:val="0"/>
                <w:color w:val="52514E"/>
                <w:sz w:val="15"/>
              </w:rPr>
              <w:t>reingresos evitados y US$41 700 de ahorro neto (según los supuestos de costo y efectividad)</w:t>
            </w:r>
          </w:p>
        </w:tc>
      </w:tr>
    </w:tbl>
    <w:p>
      <w:pPr>
        <w:spacing w:before="40" w:after="0"/>
      </w:pPr>
      <w:r>
        <w:rPr>
          <w:b w:val="0"/>
          <w:i w:val="0"/>
          <w:color w:val="52514E"/>
          <w:sz w:val="15"/>
        </w:rPr>
        <w:t>Calculado sobre los 13 998 pacientes de prueba, escalado a 1 000 altas. Los dos últimos valores dependen de los supuestos de costo y efectividad de la página 3.</w:t>
      </w:r>
    </w:p>
    <w:p w14:paraId="0791031B" w14:textId="77777777" w:rsidR="00A15C0C" w:rsidRDefault="00A15C0C">
      <w:pPr>
        <w:spacing w:after="40"/>
      </w:pPr>
    </w:p>
    <w:p w14:paraId="2BAD4845" w14:textId="0683578A" w:rsidR="00A15C0C" w:rsidRPr="009C72C2" w:rsidRDefault="00A80867" w:rsidP="009C72C2">
      <w:pPr>
        <w:pageBreakBefore/>
        <w:rPr>
          <w:lang w:val="es-CO"/>
        </w:rPr>
      </w:pPr>
      <w:r>
        <w:rPr>
          <w:b/>
          <w:sz w:val="26"/>
          <w:lang w:val="es-CO"/>
        </w:rPr>
      </w:r>
      <w:r w:rsidR="00000000" w:rsidRPr="00CE4606">
        <w:rPr>
          <w:b/>
          <w:sz w:val="26"/>
          <w:lang w:val="es-CO"/>
        </w:rPr>
        <w:t>1. Datos y rigor: por qué confiar en estos números</w:t>
      </w:r>
    </w:p>
    <w:p w14:paraId="31BA36F7" w14:textId="77777777" w:rsidR="00A15C0C" w:rsidRDefault="00000000">
      <w:r w:rsidRPr="00CE4606">
        <w:rPr>
          <w:lang w:val="es-CO"/>
        </w:rPr>
        <w:t xml:space="preserve">Partimos de 101 766 hospitalizaciones con 50 variables administrativas. El </w:t>
      </w:r>
      <w:proofErr w:type="spellStart"/>
      <w:r w:rsidRPr="00CE4606">
        <w:rPr>
          <w:lang w:val="es-CO"/>
        </w:rPr>
        <w:t>dataset</w:t>
      </w:r>
      <w:proofErr w:type="spellEnd"/>
      <w:r w:rsidRPr="00CE4606">
        <w:rPr>
          <w:lang w:val="es-CO"/>
        </w:rPr>
        <w:t xml:space="preserve"> tiene trampas que, si no se corrigen, inflan artificialmente los resultados.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fueron</w:t>
      </w:r>
      <w:proofErr w:type="spellEnd"/>
      <w:r>
        <w:t xml:space="preserve"> las </w:t>
      </w:r>
      <w:proofErr w:type="spellStart"/>
      <w:r>
        <w:t>decisiones</w:t>
      </w:r>
      <w:proofErr w:type="spellEnd"/>
      <w:r>
        <w:t xml:space="preserve"> clave: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95"/>
        <w:gridCol w:w="6517"/>
      </w:tblGrid>
      <w:tr w:rsidR="00A15C0C" w14:paraId="35744C47" w14:textId="77777777">
        <w:trPr>
          <w:jc w:val="center"/>
        </w:trPr>
        <w:tc>
          <w:tcPr>
            <w:tcW w:w="3995" w:type="dxa"/>
            <w:tcBorders>
              <w:top w:val="nil"/>
              <w:left w:val="nil"/>
              <w:bottom w:val="single" w:sz="8" w:space="0" w:color="1D1D1B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DB6889" w14:textId="77777777" w:rsidR="00A15C0C" w:rsidRDefault="00000000">
            <w:pPr>
              <w:spacing w:after="0"/>
            </w:pPr>
            <w:r>
              <w:rPr>
                <w:b/>
                <w:color w:val="52514E"/>
                <w:sz w:val="15"/>
              </w:rPr>
              <w:t>Decisión</w:t>
            </w:r>
          </w:p>
        </w:tc>
        <w:tc>
          <w:tcPr>
            <w:tcW w:w="6517" w:type="dxa"/>
            <w:tcBorders>
              <w:top w:val="nil"/>
              <w:left w:val="nil"/>
              <w:bottom w:val="single" w:sz="8" w:space="0" w:color="1D1D1B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464290" w14:textId="77777777" w:rsidR="00A15C0C" w:rsidRDefault="00000000">
            <w:pPr>
              <w:spacing w:after="0"/>
            </w:pPr>
            <w:r>
              <w:rPr>
                <w:b/>
                <w:color w:val="52514E"/>
                <w:sz w:val="15"/>
              </w:rPr>
              <w:t>Por qué</w:t>
            </w:r>
          </w:p>
        </w:tc>
      </w:tr>
      <w:tr w:rsidR="00A15C0C" w:rsidRPr="00CE4606" w14:paraId="341230EF" w14:textId="77777777">
        <w:trPr>
          <w:jc w:val="center"/>
        </w:trPr>
        <w:tc>
          <w:tcPr>
            <w:tcW w:w="3995" w:type="dxa"/>
            <w:tcBorders>
              <w:top w:val="nil"/>
              <w:left w:val="nil"/>
              <w:bottom w:val="single" w:sz="4" w:space="0" w:color="E2E1DC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9F21F3" w14:textId="77777777" w:rsidR="00A15C0C" w:rsidRDefault="00000000">
            <w:pPr>
              <w:spacing w:after="0"/>
            </w:pPr>
            <w:r>
              <w:rPr>
                <w:b/>
                <w:sz w:val="16"/>
              </w:rPr>
              <w:t>Un encuentro por paciente</w:t>
            </w:r>
            <w:r>
              <w:rPr>
                <w:sz w:val="16"/>
              </w:rPr>
              <w:t xml:space="preserve"> (101 766 → 69 987)</w:t>
            </w:r>
          </w:p>
        </w:tc>
        <w:tc>
          <w:tcPr>
            <w:tcW w:w="6517" w:type="dxa"/>
            <w:tcBorders>
              <w:top w:val="nil"/>
              <w:left w:val="nil"/>
              <w:bottom w:val="single" w:sz="4" w:space="0" w:color="E2E1DC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E63F2A" w14:textId="77777777" w:rsidR="00A15C0C" w:rsidRPr="00CE4606" w:rsidRDefault="00000000">
            <w:pPr>
              <w:spacing w:after="0"/>
              <w:rPr>
                <w:lang w:val="es-CO"/>
              </w:rPr>
            </w:pPr>
            <w:r w:rsidRPr="00CE4606">
              <w:rPr>
                <w:sz w:val="16"/>
                <w:lang w:val="es-CO"/>
              </w:rPr>
              <w:t>El 46 % de las filas eran de pacientes repetidos. Si un paciente aparece en entrenamiento y en prueba, el modelo “se reconoce a sí mismo” (fuga de información).</w:t>
            </w:r>
          </w:p>
        </w:tc>
      </w:tr>
      <w:tr w:rsidR="00A15C0C" w:rsidRPr="00CE4606" w14:paraId="4EECAA98" w14:textId="77777777">
        <w:trPr>
          <w:jc w:val="center"/>
        </w:trPr>
        <w:tc>
          <w:tcPr>
            <w:tcW w:w="3995" w:type="dxa"/>
            <w:tcBorders>
              <w:top w:val="nil"/>
              <w:left w:val="nil"/>
              <w:bottom w:val="single" w:sz="4" w:space="0" w:color="E2E1DC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EC1246" w14:textId="77777777" w:rsidR="00A15C0C" w:rsidRPr="00CE4606" w:rsidRDefault="00000000">
            <w:pPr>
              <w:spacing w:after="0"/>
              <w:rPr>
                <w:lang w:val="es-CO"/>
              </w:rPr>
            </w:pPr>
            <w:r w:rsidRPr="00CE4606">
              <w:rPr>
                <w:sz w:val="16"/>
                <w:lang w:val="es-CO"/>
              </w:rPr>
              <w:t>Excluir fallecidos y altas a hospicio</w:t>
            </w:r>
          </w:p>
        </w:tc>
        <w:tc>
          <w:tcPr>
            <w:tcW w:w="6517" w:type="dxa"/>
            <w:tcBorders>
              <w:top w:val="nil"/>
              <w:left w:val="nil"/>
              <w:bottom w:val="single" w:sz="4" w:space="0" w:color="E2E1DC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85CBEA" w14:textId="77777777" w:rsidR="00A15C0C" w:rsidRPr="00CE4606" w:rsidRDefault="00000000">
            <w:pPr>
              <w:spacing w:after="0"/>
              <w:rPr>
                <w:lang w:val="es-CO"/>
              </w:rPr>
            </w:pPr>
            <w:r w:rsidRPr="00CE4606">
              <w:rPr>
                <w:sz w:val="16"/>
                <w:lang w:val="es-CO"/>
              </w:rPr>
              <w:t>No pueden reingresar: su “no reingreso” es trivial y distorsiona el objetivo.</w:t>
            </w:r>
          </w:p>
        </w:tc>
      </w:tr>
      <w:tr w:rsidR="00A15C0C" w:rsidRPr="00CE4606" w14:paraId="105436DF" w14:textId="77777777">
        <w:trPr>
          <w:jc w:val="center"/>
        </w:trPr>
        <w:tc>
          <w:tcPr>
            <w:tcW w:w="3995" w:type="dxa"/>
            <w:tcBorders>
              <w:top w:val="nil"/>
              <w:left w:val="nil"/>
              <w:bottom w:val="single" w:sz="4" w:space="0" w:color="E2E1DC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597A35" w14:textId="77777777" w:rsidR="00A15C0C" w:rsidRDefault="00000000">
            <w:pPr>
              <w:spacing w:after="0"/>
            </w:pPr>
            <w:proofErr w:type="spellStart"/>
            <w:r>
              <w:rPr>
                <w:sz w:val="16"/>
              </w:rPr>
              <w:t>Faltantes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escondidos</w:t>
            </w:r>
            <w:proofErr w:type="spellEnd"/>
            <w:r>
              <w:rPr>
                <w:sz w:val="16"/>
              </w:rPr>
              <w:t xml:space="preserve"> → </w:t>
            </w:r>
            <w:proofErr w:type="spellStart"/>
            <w:r>
              <w:rPr>
                <w:sz w:val="16"/>
              </w:rPr>
              <w:t>categorías</w:t>
            </w:r>
            <w:proofErr w:type="spellEnd"/>
          </w:p>
        </w:tc>
        <w:tc>
          <w:tcPr>
            <w:tcW w:w="6517" w:type="dxa"/>
            <w:tcBorders>
              <w:top w:val="nil"/>
              <w:left w:val="nil"/>
              <w:bottom w:val="single" w:sz="4" w:space="0" w:color="E2E1DC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B24029" w14:textId="77777777" w:rsidR="00A15C0C" w:rsidRPr="00CE4606" w:rsidRDefault="00000000">
            <w:pPr>
              <w:spacing w:after="0"/>
              <w:rPr>
                <w:lang w:val="es-CO"/>
              </w:rPr>
            </w:pPr>
            <w:r w:rsidRPr="00CE4606">
              <w:rPr>
                <w:sz w:val="16"/>
                <w:lang w:val="es-CO"/>
              </w:rPr>
              <w:t>Faltantes marcados con “?” y códigos NULL (hasta 95 % en glucosa sérica; weight, con 97 %, se eliminó). No haber medido un examen es información: se mantuvo como “</w:t>
            </w:r>
            <w:proofErr w:type="spellStart"/>
            <w:r w:rsidRPr="00CE4606">
              <w:rPr>
                <w:sz w:val="16"/>
                <w:lang w:val="es-CO"/>
              </w:rPr>
            </w:r>
            <w:proofErr w:type="spellEnd"/>
            <w:r w:rsidRPr="00CE4606">
              <w:rPr>
                <w:sz w:val="16"/>
                <w:lang w:val="es-CO"/>
              </w:rPr>
            </w:r>
            <w:proofErr w:type="spellStart"/>
            <w:r w:rsidRPr="00CE4606">
              <w:rPr>
                <w:sz w:val="16"/>
                <w:lang w:val="es-CO"/>
              </w:rPr>
              <w:t>NoMedido</w:t>
            </w:r>
            <w:proofErr w:type="spellEnd"/>
            <w:r w:rsidRPr="00CE4606">
              <w:rPr>
                <w:sz w:val="16"/>
                <w:lang w:val="es-CO"/>
              </w:rPr>
              <w:t>”.</w:t>
            </w:r>
          </w:p>
        </w:tc>
      </w:tr>
      <w:tr w:rsidR="00A15C0C" w:rsidRPr="00CE4606" w14:paraId="237C6FFC" w14:textId="77777777">
        <w:trPr>
          <w:jc w:val="center"/>
        </w:trPr>
        <w:tc>
          <w:tcPr>
            <w:tcW w:w="3995" w:type="dxa"/>
            <w:tcBorders>
              <w:top w:val="nil"/>
              <w:left w:val="nil"/>
              <w:bottom w:val="single" w:sz="4" w:space="0" w:color="E2E1DC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C9B18D" w14:textId="77777777" w:rsidR="00A15C0C" w:rsidRPr="00CE4606" w:rsidRDefault="00000000">
            <w:pPr>
              <w:spacing w:after="0"/>
              <w:rPr>
                <w:lang w:val="es-CO"/>
              </w:rPr>
            </w:pPr>
            <w:r w:rsidRPr="00CE4606">
              <w:rPr>
                <w:sz w:val="16"/>
                <w:lang w:val="es-CO"/>
              </w:rPr>
              <w:lastRenderedPageBreak/>
              <w:t>Diagnósticos ICD-9 → 9 capítulos; log en visitas previas</w:t>
            </w:r>
          </w:p>
        </w:tc>
        <w:tc>
          <w:tcPr>
            <w:tcW w:w="6517" w:type="dxa"/>
            <w:tcBorders>
              <w:top w:val="nil"/>
              <w:left w:val="nil"/>
              <w:bottom w:val="single" w:sz="4" w:space="0" w:color="E2E1DC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AD2BF7" w14:textId="77777777" w:rsidR="00A15C0C" w:rsidRPr="00CE4606" w:rsidRDefault="00000000">
            <w:pPr>
              <w:spacing w:after="0"/>
              <w:rPr>
                <w:lang w:val="es-CO"/>
              </w:rPr>
            </w:pPr>
            <w:r w:rsidRPr="00CE4606">
              <w:rPr>
                <w:sz w:val="16"/>
                <w:lang w:val="es-CO"/>
              </w:rPr>
              <w:t>Cerca de 800 códigos por columna; conteos con asimetría de hasta 22.9.</w:t>
            </w:r>
          </w:p>
        </w:tc>
      </w:tr>
    </w:tbl>
    <w:p w14:paraId="0742A7E1" w14:textId="29D84714" w:rsidR="00A15C0C" w:rsidRDefault="00A15C0C">
      <w:pPr>
        <w:spacing w:after="8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571"/>
        <w:gridCol w:w="4941"/>
      </w:tblGrid>
      <w:tr w:rsidR="00A15C0C" w:rsidRPr="00CE4606" w14:paraId="61ABCBDE" w14:textId="77777777">
        <w:trPr>
          <w:jc w:val="center"/>
        </w:trPr>
        <w:tc>
          <w:tcPr>
            <w:tcW w:w="557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232F1877" w14:textId="77777777" w:rsidR="00A15C0C" w:rsidRDefault="00000000">
            <w:pPr>
              <w:spacing w:after="40"/>
            </w:pPr>
            <w:r>
              <w:rPr>
                <w:b/>
                <w:sz w:val="20"/>
              </w:rPr>
              <w:t>Protocolo de evaluación</w:t>
            </w:r>
          </w:p>
          <w:p w14:paraId="60CA49C5" w14:textId="77777777" w:rsidR="00A15C0C" w:rsidRPr="00CE4606" w:rsidRDefault="00000000">
            <w:pPr>
              <w:pStyle w:val="ListBullet"/>
              <w:rPr>
                <w:lang w:val="es-CO"/>
              </w:rPr>
            </w:pPr>
            <w:r w:rsidRPr="00CE4606">
              <w:rPr>
                <w:b/>
                <w:sz w:val="17"/>
                <w:lang w:val="es-CO"/>
              </w:rPr>
              <w:t>Entrenamiento / prueba 80/20</w:t>
            </w:r>
            <w:r w:rsidRPr="00CE4606">
              <w:rPr>
                <w:sz w:val="17"/>
                <w:lang w:val="es-CO"/>
              </w:rPr>
              <w:t xml:space="preserve"> estratificado; todo el preprocesamiento dentro de un Pipeline ajustado solo con entrenamiento.</w:t>
            </w:r>
          </w:p>
          <w:p w14:paraId="4B7D01C7" w14:textId="77777777" w:rsidR="00A15C0C" w:rsidRPr="00CE4606" w:rsidRDefault="00000000">
            <w:pPr>
              <w:pStyle w:val="ListBullet"/>
              <w:rPr>
                <w:lang w:val="es-CO"/>
              </w:rPr>
            </w:pPr>
            <w:proofErr w:type="spellStart"/>
            <w:r w:rsidRPr="00CE4606">
              <w:rPr>
                <w:b/>
                <w:sz w:val="17"/>
                <w:lang w:val="es-CO"/>
              </w:rPr>
              <w:t>Hiperparámetros</w:t>
            </w:r>
            <w:proofErr w:type="spellEnd"/>
            <w:r w:rsidRPr="00CE4606">
              <w:rPr>
                <w:sz w:val="17"/>
                <w:lang w:val="es-CO"/>
              </w:rPr>
              <w:t xml:space="preserve"> por validación cruzada de 5 </w:t>
            </w:r>
            <w:proofErr w:type="spellStart"/>
            <w:r w:rsidRPr="00CE4606">
              <w:rPr>
                <w:sz w:val="17"/>
                <w:lang w:val="es-CO"/>
              </w:rPr>
              <w:t>folds</w:t>
            </w:r>
            <w:proofErr w:type="spellEnd"/>
            <w:r w:rsidRPr="00CE4606">
              <w:rPr>
                <w:sz w:val="17"/>
                <w:lang w:val="es-CO"/>
              </w:rPr>
              <w:t xml:space="preserve"> optimizando AUC → KNN con k = 676 vecinos, distancia manhattan.</w:t>
            </w:r>
          </w:p>
          <w:p w14:paraId="15BA08C3" w14:textId="77777777" w:rsidR="00A15C0C" w:rsidRPr="00CE4606" w:rsidRDefault="00000000">
            <w:pPr>
              <w:pStyle w:val="ListBullet"/>
              <w:rPr>
                <w:lang w:val="es-CO"/>
              </w:rPr>
            </w:pPr>
            <w:r w:rsidRPr="00CE4606">
              <w:rPr>
                <w:b/>
                <w:sz w:val="17"/>
                <w:lang w:val="es-CO"/>
              </w:rPr>
              <w:t>El umbral de decisión se eligió sin mirar la prueba</w:t>
            </w:r>
            <w:r w:rsidRPr="00CE4606">
              <w:rPr>
                <w:sz w:val="17"/>
                <w:lang w:val="es-CO"/>
              </w:rPr>
              <w:t xml:space="preserve">, con predicciones </w:t>
            </w:r>
            <w:proofErr w:type="spellStart"/>
            <w:r w:rsidRPr="00CE4606">
              <w:rPr>
                <w:sz w:val="17"/>
                <w:lang w:val="es-CO"/>
              </w:rPr>
              <w:t>out-of-fold</w:t>
            </w:r>
            <w:proofErr w:type="spellEnd"/>
            <w:r w:rsidRPr="00CE4606">
              <w:rPr>
                <w:sz w:val="17"/>
                <w:lang w:val="es-CO"/>
              </w:rPr>
              <w:t xml:space="preserve"> de entrenamiento.</w:t>
            </w:r>
          </w:p>
          <w:p w14:paraId="1CEECFAC" w14:textId="77777777" w:rsidR="00A15C0C" w:rsidRPr="00CE4606" w:rsidRDefault="00000000">
            <w:pPr>
              <w:pStyle w:val="ListBullet"/>
              <w:rPr>
                <w:lang w:val="es-CO"/>
              </w:rPr>
            </w:pPr>
            <w:r w:rsidRPr="00CE4606">
              <w:rPr>
                <w:b/>
                <w:sz w:val="17"/>
                <w:lang w:val="es-CO"/>
              </w:rPr>
              <w:t>Intervalos de confianza</w:t>
            </w:r>
            <w:r w:rsidRPr="00CE4606">
              <w:rPr>
                <w:sz w:val="17"/>
                <w:lang w:val="es-CO"/>
              </w:rPr>
              <w:t>: bootstrap (1 000 réplicas) para AUC, recall, precisión y ahorro; Wilson para las tasas de reingreso por nivel.</w:t>
            </w:r>
            <w:proofErr w:type="spellStart"/>
            <w:r w:rsidRPr="00CE4606">
              <w:rPr>
                <w:sz w:val="17"/>
                <w:lang w:val="es-CO"/>
              </w:rPr>
            </w:r>
            <w:proofErr w:type="spellEnd"/>
            <w:r w:rsidRPr="00CE4606">
              <w:rPr>
                <w:sz w:val="17"/>
                <w:lang w:val="es-CO"/>
              </w:rPr>
            </w:r>
          </w:p>
          <w:p w14:paraId="10A1C11E" w14:textId="0355C722" w:rsidR="00A15C0C" w:rsidRPr="00CE4606" w:rsidRDefault="00000000">
            <w:pPr>
              <w:pStyle w:val="ListBullet"/>
              <w:rPr>
                <w:lang w:val="es-CO"/>
              </w:rPr>
            </w:pPr>
            <w:r w:rsidRPr="00CE4606">
              <w:rPr>
                <w:b/>
                <w:sz w:val="17"/>
                <w:lang w:val="es-CO"/>
              </w:rPr>
              <w:t>Sin SMOTE ni sobremuestreo:</w:t>
            </w:r>
            <w:r w:rsidRPr="00CE4606">
              <w:rPr>
                <w:sz w:val="17"/>
                <w:lang w:val="es-CO"/>
              </w:rPr>
              <w:t xml:space="preserve"> no lo aplicamos porque creemos que el dataset no lo necesita: el desbalance (9 % de reingresos) se maneja eligiendo el umbral, y remuestrear deformaría las probabilidades de riesgo.</w:t>
            </w:r>
            <w:r w:rsidR="00CE4606">
              <w:rPr>
                <w:sz w:val="17"/>
                <w:lang w:val="es-CO"/>
              </w:rPr>
            </w:r>
          </w:p>
          <w:p w14:paraId="287A6841" w14:textId="1152A032" w:rsidR="00A15C0C" w:rsidRPr="00CE4606" w:rsidRDefault="00A15C0C">
            <w:pPr>
              <w:spacing w:before="80" w:after="0"/>
              <w:rPr>
                <w:lang w:val="es-CO"/>
              </w:rPr>
            </w:pPr>
          </w:p>
        </w:tc>
        <w:tc>
          <w:tcPr>
            <w:tcW w:w="49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20" w:type="dxa"/>
              <w:bottom w:w="0" w:type="dxa"/>
              <w:right w:w="0" w:type="dxa"/>
            </w:tcMar>
          </w:tcPr>
          <w:p w14:paraId="7AFE3C9B" w14:textId="77777777" w:rsidR="00A15C0C" w:rsidRDefault="00000000">
            <w:pPr>
              <w:spacing w:after="20"/>
            </w:pPr>
            <w:r>
              <w:rPr>
                <w:noProof/>
              </w:rPr>
              <w:drawing>
                <wp:inline distT="0" distB="0" distL="0" distR="0" wp14:anchorId="06E95205" wp14:editId="3FFC3640">
                  <wp:extent cx="2926080" cy="1869329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_auc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18693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6812F4" w14:textId="77777777" w:rsidR="00A15C0C" w:rsidRPr="00CE4606" w:rsidRDefault="00000000">
            <w:pPr>
              <w:rPr>
                <w:lang w:val="es-CO"/>
              </w:rPr>
            </w:pPr>
            <w:r w:rsidRPr="00CE4606">
              <w:rPr>
                <w:color w:val="52514E"/>
                <w:sz w:val="15"/>
                <w:lang w:val="es-CO"/>
              </w:rPr>
              <w:t xml:space="preserve">AUC en prueba con IC 95 %. La banda verde es el rango que reportan los trabajos publicados que evalúan sin fuga de información (p. ej. Liu et al., 2024: </w:t>
            </w:r>
            <w:proofErr w:type="spellStart"/>
            <w:r w:rsidRPr="00CE4606">
              <w:rPr>
                <w:color w:val="52514E"/>
                <w:sz w:val="15"/>
                <w:lang w:val="es-CO"/>
              </w:rPr>
              <w:t>XGBoost</w:t>
            </w:r>
            <w:proofErr w:type="spellEnd"/>
            <w:r w:rsidRPr="00CE4606">
              <w:rPr>
                <w:color w:val="52514E"/>
                <w:sz w:val="15"/>
                <w:lang w:val="es-CO"/>
              </w:rPr>
              <w:t xml:space="preserve"> 0.64). Los trabajos con AUC &gt; 0.9 aplican SMOTE antes de separar los datos.</w:t>
            </w:r>
          </w:p>
        </w:tc>
      </w:tr>
    </w:tbl>
    <w:p w14:paraId="16B8EA74" w14:textId="77777777" w:rsidR="00A15C0C" w:rsidRPr="00CE4606" w:rsidRDefault="00A15C0C">
      <w:pPr>
        <w:spacing w:after="20"/>
        <w:rPr>
          <w:lang w:val="es-CO"/>
        </w:rPr>
      </w:pPr>
    </w:p>
    <w:p w14:paraId="4F071FB5" w14:textId="77777777" w:rsidR="00A15C0C" w:rsidRDefault="00000000">
      <w:pPr>
        <w:spacing w:before="40" w:after="40"/>
      </w:pPr>
      <w:proofErr w:type="spellStart"/>
      <w:r>
        <w:rPr>
          <w:b/>
          <w:sz w:val="20"/>
        </w:rPr>
        <w:t>Hallazgos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estadísticos</w:t>
      </w:r>
      <w:proofErr w:type="spellEnd"/>
      <w:r>
        <w:rPr>
          <w:b/>
          <w:sz w:val="20"/>
        </w:rPr>
        <w:t xml:space="preserve"> del KNN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33"/>
        <w:gridCol w:w="7779"/>
      </w:tblGrid>
      <w:tr w:rsidR="00A15C0C" w14:paraId="2F2FF796" w14:textId="77777777">
        <w:trPr>
          <w:jc w:val="center"/>
        </w:trPr>
        <w:tc>
          <w:tcPr>
            <w:tcW w:w="2733" w:type="dxa"/>
            <w:tcBorders>
              <w:top w:val="nil"/>
              <w:left w:val="nil"/>
              <w:bottom w:val="single" w:sz="8" w:space="0" w:color="1D1D1B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584C1A" w14:textId="77777777" w:rsidR="00A15C0C" w:rsidRDefault="00000000">
            <w:pPr>
              <w:spacing w:after="0"/>
            </w:pPr>
            <w:r>
              <w:rPr>
                <w:b/>
                <w:color w:val="52514E"/>
                <w:sz w:val="15"/>
              </w:rPr>
              <w:t>Análisis</w:t>
            </w:r>
          </w:p>
        </w:tc>
        <w:tc>
          <w:tcPr>
            <w:tcW w:w="7779" w:type="dxa"/>
            <w:tcBorders>
              <w:top w:val="nil"/>
              <w:left w:val="nil"/>
              <w:bottom w:val="single" w:sz="8" w:space="0" w:color="1D1D1B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6C6A1E" w14:textId="77777777" w:rsidR="00A15C0C" w:rsidRDefault="00000000">
            <w:pPr>
              <w:spacing w:after="0"/>
            </w:pPr>
            <w:r>
              <w:rPr>
                <w:b/>
                <w:color w:val="52514E"/>
                <w:sz w:val="15"/>
              </w:rPr>
              <w:t>Resultado</w:t>
            </w:r>
          </w:p>
        </w:tc>
      </w:tr>
      <w:tr w:rsidR="00A15C0C" w14:paraId="408BC75B" w14:textId="77777777">
        <w:trPr>
          <w:jc w:val="center"/>
        </w:trPr>
        <w:tc>
          <w:tcPr>
            <w:tcW w:w="2733" w:type="dxa"/>
            <w:tcBorders>
              <w:top w:val="nil"/>
              <w:left w:val="nil"/>
              <w:bottom w:val="single" w:sz="4" w:space="0" w:color="E2E1DC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3A048A" w14:textId="77777777" w:rsidR="00A15C0C" w:rsidRDefault="00000000">
            <w:pPr>
              <w:spacing w:after="0"/>
            </w:pPr>
            <w:r>
              <w:rPr>
                <w:sz w:val="16"/>
              </w:rPr>
              <w:t>Comparación con otros modelos</w:t>
            </w:r>
          </w:p>
        </w:tc>
        <w:tc>
          <w:tcPr>
            <w:tcW w:w="7779" w:type="dxa"/>
            <w:tcBorders>
              <w:top w:val="nil"/>
              <w:left w:val="nil"/>
              <w:bottom w:val="single" w:sz="4" w:space="0" w:color="E2E1DC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CD142C" w14:textId="77777777" w:rsidR="00A15C0C" w:rsidRDefault="00000000">
            <w:pPr>
              <w:spacing w:after="0"/>
            </w:pPr>
            <w:r w:rsidRPr="00CE4606">
              <w:rPr>
                <w:sz w:val="16"/>
                <w:lang w:val="es-CO"/>
              </w:rPr>
              <w:t>Con las mismas variables, regresión logística (0.645) y gradient boosting (0.644) empatan con el KNN (diferencias no significativas). Gradient boosting con todas las variables es mejor (ΔAUC +0.014, IC [0.004, 0.024]): la ventaja viene de las variables, no del algoritmo.</w:t>
            </w:r>
            <w:r>
              <w:rPr>
                <w:sz w:val="16"/>
              </w:rPr>
            </w:r>
            <w:r w:rsidRPr="00CE4606">
              <w:rPr>
                <w:sz w:val="16"/>
                <w:lang w:val="es-CO"/>
              </w:rPr>
            </w:r>
            <w:r>
              <w:rPr>
                <w:sz w:val="16"/>
              </w:rPr>
            </w:r>
            <w:proofErr w:type="spellStart"/>
            <w:r>
              <w:rPr>
                <w:sz w:val="16"/>
              </w:rPr>
            </w:r>
            <w:proofErr w:type="spellEnd"/>
            <w:r>
              <w:rPr>
                <w:sz w:val="16"/>
              </w:rPr>
            </w:r>
          </w:p>
        </w:tc>
      </w:tr>
      <w:tr w:rsidR="00A15C0C" w14:paraId="71E55A0E" w14:textId="77777777">
        <w:trPr>
          <w:jc w:val="center"/>
        </w:trPr>
        <w:tc>
          <w:tcPr>
            <w:tcW w:w="2733" w:type="dxa"/>
            <w:tcBorders>
              <w:top w:val="nil"/>
              <w:left w:val="nil"/>
              <w:bottom w:val="single" w:sz="4" w:space="0" w:color="E2E1DC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6BD323" w14:textId="77777777" w:rsidR="00A15C0C" w:rsidRDefault="00000000">
            <w:pPr>
              <w:spacing w:after="0"/>
            </w:pPr>
            <w:r>
              <w:rPr>
                <w:sz w:val="16"/>
              </w:rPr>
              <w:t>Calibración</w:t>
            </w:r>
          </w:p>
        </w:tc>
        <w:tc>
          <w:tcPr>
            <w:tcW w:w="7779" w:type="dxa"/>
            <w:tcBorders>
              <w:top w:val="nil"/>
              <w:left w:val="nil"/>
              <w:bottom w:val="single" w:sz="4" w:space="0" w:color="E2E1DC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8FC0D4" w14:textId="77777777" w:rsidR="00A15C0C" w:rsidRDefault="00000000">
            <w:pPr>
              <w:spacing w:after="0"/>
            </w:pPr>
            <w:r w:rsidRPr="00CE4606">
              <w:rPr>
                <w:sz w:val="16"/>
                <w:lang w:val="es-CO"/>
              </w:rPr>
              <w:t xml:space="preserve">El KNN subestimaba al decil de mayor riesgo (predecía 14.5 %, ocurría 19.4 %). </w:t>
            </w:r>
            <w:r>
              <w:rPr>
                <w:sz w:val="16"/>
              </w:rPr>
              <w:t xml:space="preserve">Con </w:t>
            </w:r>
            <w:proofErr w:type="spellStart"/>
            <w:r>
              <w:rPr>
                <w:sz w:val="16"/>
              </w:rPr>
              <w:t>recalibración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isotónica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ajustada</w:t>
            </w:r>
            <w:proofErr w:type="spellEnd"/>
            <w:r>
              <w:rPr>
                <w:sz w:val="16"/>
              </w:rPr>
              <w:t xml:space="preserve"> en entrenamiento: </w:t>
            </w:r>
            <w:r>
              <w:rPr>
                <w:b/>
                <w:sz w:val="16"/>
              </w:rPr>
              <w:t>18.5 % vs 19.1 %</w:t>
            </w:r>
            <w:r>
              <w:rPr>
                <w:sz w:val="16"/>
              </w:rPr>
              <w:t>.</w:t>
            </w:r>
          </w:p>
        </w:tc>
      </w:tr>
      <w:tr w:rsidR="00A15C0C" w:rsidRPr="00CE4606" w14:paraId="6135E0A4" w14:textId="77777777">
        <w:trPr>
          <w:jc w:val="center"/>
        </w:trPr>
        <w:tc>
          <w:tcPr>
            <w:tcW w:w="2733" w:type="dxa"/>
            <w:tcBorders>
              <w:top w:val="nil"/>
              <w:left w:val="nil"/>
              <w:bottom w:val="single" w:sz="4" w:space="0" w:color="E2E1DC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BCD183" w14:textId="77777777" w:rsidR="00A15C0C" w:rsidRDefault="00000000">
            <w:pPr>
              <w:spacing w:after="0"/>
            </w:pPr>
            <w:r>
              <w:rPr>
                <w:sz w:val="16"/>
              </w:rPr>
              <w:t>Variables de la literatura</w:t>
            </w:r>
          </w:p>
        </w:tc>
        <w:tc>
          <w:tcPr>
            <w:tcW w:w="7779" w:type="dxa"/>
            <w:tcBorders>
              <w:top w:val="nil"/>
              <w:left w:val="nil"/>
              <w:bottom w:val="single" w:sz="4" w:space="0" w:color="E2E1DC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BE3CF9" w14:textId="77777777" w:rsidR="00A15C0C" w:rsidRPr="00CE4606" w:rsidRDefault="00000000">
            <w:pPr>
              <w:spacing w:after="0"/>
              <w:rPr>
                <w:lang w:val="es-CO"/>
              </w:rPr>
            </w:pPr>
            <w:r w:rsidRPr="00CE4606">
              <w:rPr>
                <w:sz w:val="16"/>
                <w:lang w:val="es-CO"/>
              </w:rPr>
              <w:t xml:space="preserve">Agregar origen de la admisión, diagnósticos secundarios, HbA1c o especialidad </w:t>
            </w:r>
            <w:r w:rsidRPr="00CE4606">
              <w:rPr>
                <w:b/>
                <w:sz w:val="16"/>
                <w:lang w:val="es-CO"/>
              </w:rPr>
              <w:t>empeora</w:t>
            </w:r>
            <w:r w:rsidRPr="00CE4606">
              <w:rPr>
                <w:sz w:val="16"/>
                <w:lang w:val="es-CO"/>
              </w:rPr>
              <w:t xml:space="preserve"> al KNN (AUC 0.640 → 0.634): en KNN cada columna pesa igual en la distancia y las poco útiles diluyen a las importantes.</w:t>
            </w:r>
          </w:p>
        </w:tc>
      </w:tr>
      <w:tr w:rsidR="00A15C0C" w14:paraId="3C23E07C" w14:textId="77777777">
        <w:trPr>
          <w:jc w:val="center"/>
        </w:trPr>
        <w:tc>
          <w:tcPr>
            <w:tcW w:w="2733" w:type="dxa"/>
            <w:tcBorders>
              <w:top w:val="nil"/>
              <w:left w:val="nil"/>
              <w:bottom w:val="single" w:sz="4" w:space="0" w:color="E2E1DC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F7D8A7" w14:textId="77777777" w:rsidR="00A15C0C" w:rsidRDefault="00000000">
            <w:pPr>
              <w:spacing w:after="0"/>
            </w:pPr>
            <w:r>
              <w:rPr>
                <w:sz w:val="16"/>
              </w:rPr>
              <w:t>Variables más asociadas al reingreso</w:t>
            </w:r>
            <w:proofErr w:type="spellStart"/>
            <w:r>
              <w:rPr>
                <w:sz w:val="16"/>
              </w:rPr>
            </w:r>
            <w:proofErr w:type="spellEnd"/>
            <w:r>
              <w:rPr>
                <w:sz w:val="16"/>
              </w:rPr>
            </w:r>
            <w:proofErr w:type="spellStart"/>
            <w:r>
              <w:rPr>
                <w:sz w:val="16"/>
              </w:rPr>
            </w:r>
            <w:proofErr w:type="spellEnd"/>
            <w:r>
              <w:rPr>
                <w:sz w:val="16"/>
              </w:rPr>
            </w:r>
            <w:proofErr w:type="spellStart"/>
            <w:r>
              <w:rPr>
                <w:sz w:val="16"/>
              </w:rPr>
            </w:r>
            <w:proofErr w:type="spellEnd"/>
          </w:p>
        </w:tc>
        <w:tc>
          <w:tcPr>
            <w:tcW w:w="7779" w:type="dxa"/>
            <w:tcBorders>
              <w:top w:val="nil"/>
              <w:left w:val="nil"/>
              <w:bottom w:val="single" w:sz="4" w:space="0" w:color="E2E1DC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3F8025" w14:textId="77777777" w:rsidR="00A15C0C" w:rsidRDefault="00000000">
            <w:pPr>
              <w:spacing w:after="0"/>
            </w:pPr>
            <w:r w:rsidRPr="00CE4606">
              <w:rPr>
                <w:sz w:val="16"/>
                <w:lang w:val="es-CO"/>
              </w:rPr>
              <w:t>Hospitalizaciones previas, destino al alta (los enviados a rehabilitación reingresan un 26 %) y días de hospitalización, según el EDA y la ablación del KNN. Coinciden con la literatura.</w:t>
            </w:r>
            <w:proofErr w:type="spellStart"/>
            <w:r>
              <w:rPr>
                <w:sz w:val="16"/>
              </w:rPr>
            </w:r>
            <w:proofErr w:type="spellEnd"/>
            <w:r>
              <w:rPr>
                <w:sz w:val="16"/>
              </w:rPr>
            </w:r>
            <w:proofErr w:type="spellStart"/>
            <w:r>
              <w:rPr>
                <w:sz w:val="16"/>
              </w:rPr>
            </w:r>
            <w:proofErr w:type="spellEnd"/>
            <w:r>
              <w:rPr>
                <w:sz w:val="16"/>
              </w:rPr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512"/>
      </w:tblGrid>
      <w:tr>
        <w:tc>
          <w:tcPr>
            <w:tcW w:type="dxa" w:w="10512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EEF4FC"/>
            <w:tcMar>
              <w:top w:w="90" w:type="dxa"/>
              <w:bottom w:w="90" w:type="dxa"/>
              <w:left w:w="150" w:type="dxa"/>
              <w:right w:w="120" w:type="dxa"/>
            </w:tcMar>
            <w:tcBorders>
              <w:top w:val="nil"/>
              <w:left w:val="single" w:sz="28" w:color="2A78D6" w:space="0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b/>
                <w:i w:val="0"/>
                <w:sz w:val="20"/>
              </w:rPr>
              <w:t>Por qué un AUC de 0.64 honesto vale más que un 0.95 publicado</w:t>
            </w:r>
          </w:p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Varios trabajos sobre este mismo dataset reportan AUC de 0.95 o más. Lo logran balanceando las clases con SMOTE antes de separar entrenamiento y prueba, lo que deja pasar información de la prueba al modelo. Ese número no se sostiene al llegar a un hospital real. Nuestro resultado se midió en </w:t>
            </w:r>
            <w:r>
              <w:rPr>
                <w:b/>
                <w:i w:val="0"/>
                <w:sz w:val="18"/>
              </w:rPr>
              <w:t>pacientes que el modelo nunca vio</w:t>
            </w:r>
            <w:r>
              <w:rPr>
                <w:b w:val="0"/>
                <w:i w:val="0"/>
                <w:sz w:val="18"/>
              </w:rPr>
              <w:t xml:space="preserve">, con intervalos de confianza, y coincide con los estudios que evalúan correctamente (0.62–0.67). </w:t>
            </w:r>
            <w:r>
              <w:rPr>
                <w:b/>
                <w:i w:val="0"/>
                <w:sz w:val="18"/>
              </w:rPr>
              <w:t>Es un número en el que se puede basar una decisión.</w:t>
            </w:r>
          </w:p>
        </w:tc>
      </w:tr>
    </w:tbl>
    <w:p w14:paraId="4767D51B" w14:textId="77777777" w:rsidR="00A15C0C" w:rsidRDefault="00A15C0C">
      <w:pPr>
        <w:spacing w:after="40"/>
      </w:pPr>
    </w:p>
    <w:p w14:paraId="1544E908" w14:textId="37356C17" w:rsidR="00A15C0C" w:rsidRPr="009C72C2" w:rsidRDefault="00000000" w:rsidP="009C72C2">
      <w:pPr>
        <w:pageBreakBefore/>
        <w:rPr>
          <w:lang w:val="es-CO"/>
        </w:rPr>
      </w:pPr>
      <w:r w:rsidRPr="00CE4606">
        <w:rPr>
          <w:b/>
          <w:sz w:val="26"/>
          <w:lang w:val="es-CO"/>
        </w:rPr>
        <w:t>2. De la predicción a la decisión</w:t>
      </w:r>
    </w:p>
    <w:p w14:paraId="0FAC9EDE" w14:textId="77777777" w:rsidR="00A15C0C" w:rsidRPr="00CE4606" w:rsidRDefault="00000000">
      <w:pPr>
        <w:spacing w:after="80"/>
        <w:rPr>
          <w:lang w:val="es-CO"/>
        </w:rPr>
      </w:pPr>
      <w:r w:rsidRPr="00CE4606">
        <w:rPr>
          <w:lang w:val="es-CO"/>
        </w:rPr>
        <w:t xml:space="preserve">El KNN entrega, para cada paciente, la </w:t>
      </w:r>
      <w:r w:rsidRPr="00CE4606">
        <w:rPr>
          <w:b/>
          <w:lang w:val="es-CO"/>
        </w:rPr>
        <w:t>proporción de sus 676 vecinos más parecidos que reingresaron</w:t>
      </w:r>
      <w:r w:rsidRPr="00CE4606">
        <w:rPr>
          <w:lang w:val="es-CO"/>
        </w:rPr>
        <w:t xml:space="preserve">. Ese número hay que convertirlo en una acción, y eso exige elegir un umbral. El umbral no es una decisión estadística sino de </w:t>
      </w:r>
      <w:r w:rsidRPr="00CE4606">
        <w:rPr>
          <w:b/>
          <w:lang w:val="es-CO"/>
        </w:rPr>
        <w:t>costos</w:t>
      </w:r>
      <w:r w:rsidRPr="00CE4606">
        <w:rPr>
          <w:lang w:val="es-CO"/>
        </w:rPr>
        <w:t>: cuántas llamadas o citas innecesarias estamos dispuestos a hacer por cada reingreso que detectamos.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13"/>
        <w:gridCol w:w="1367"/>
        <w:gridCol w:w="1682"/>
        <w:gridCol w:w="1682"/>
        <w:gridCol w:w="1472"/>
        <w:gridCol w:w="1997"/>
      </w:tblGrid>
      <w:tr w:rsidR="00A15C0C" w14:paraId="0AF3A207" w14:textId="77777777">
        <w:trPr>
          <w:jc w:val="center"/>
        </w:trPr>
        <w:tc>
          <w:tcPr>
            <w:tcW w:w="2313" w:type="dxa"/>
            <w:tcBorders>
              <w:top w:val="nil"/>
              <w:left w:val="nil"/>
              <w:bottom w:val="single" w:sz="8" w:space="0" w:color="1D1D1B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575EA5" w14:textId="77777777" w:rsidR="00A15C0C" w:rsidRDefault="00000000">
            <w:pPr>
              <w:spacing w:after="0"/>
            </w:pPr>
            <w:proofErr w:type="spellStart"/>
            <w:r>
              <w:rPr>
                <w:b/>
                <w:color w:val="52514E"/>
                <w:sz w:val="15"/>
              </w:rPr>
              <w:t>Criterio</w:t>
            </w:r>
            <w:proofErr w:type="spellEnd"/>
          </w:p>
        </w:tc>
        <w:tc>
          <w:tcPr>
            <w:tcW w:w="1367" w:type="dxa"/>
            <w:tcBorders>
              <w:top w:val="nil"/>
              <w:left w:val="nil"/>
              <w:bottom w:val="single" w:sz="8" w:space="0" w:color="1D1D1B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D6E264" w14:textId="77777777" w:rsidR="00A15C0C" w:rsidRDefault="00000000">
            <w:pPr>
              <w:spacing w:after="0"/>
              <w:jc w:val="right"/>
            </w:pPr>
            <w:r>
              <w:rPr>
                <w:b/>
                <w:color w:val="52514E"/>
                <w:sz w:val="15"/>
              </w:rPr>
              <w:t>Umbral</w:t>
            </w:r>
          </w:p>
        </w:tc>
        <w:tc>
          <w:tcPr>
            <w:tcW w:w="1682" w:type="dxa"/>
            <w:tcBorders>
              <w:top w:val="nil"/>
              <w:left w:val="nil"/>
              <w:bottom w:val="single" w:sz="8" w:space="0" w:color="1D1D1B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B7F94F" w14:textId="77777777" w:rsidR="00A15C0C" w:rsidRDefault="00000000">
            <w:pPr>
              <w:spacing w:after="0"/>
              <w:jc w:val="right"/>
            </w:pPr>
            <w:r>
              <w:rPr>
                <w:b/>
                <w:color w:val="52514E"/>
                <w:sz w:val="15"/>
              </w:rPr>
              <w:t>Reingresos detectados</w:t>
            </w:r>
          </w:p>
        </w:tc>
        <w:tc>
          <w:tcPr>
            <w:tcW w:w="1682" w:type="dxa"/>
            <w:tcBorders>
              <w:top w:val="nil"/>
              <w:left w:val="nil"/>
              <w:bottom w:val="single" w:sz="8" w:space="0" w:color="1D1D1B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E42397" w14:textId="77777777" w:rsidR="00A15C0C" w:rsidRDefault="00000000">
            <w:pPr>
              <w:spacing w:after="0"/>
              <w:jc w:val="right"/>
            </w:pPr>
            <w:r>
              <w:rPr>
                <w:b/>
                <w:color w:val="52514E"/>
                <w:sz w:val="15"/>
              </w:rPr>
              <w:t>No detectados (de 1 257)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8" w:space="0" w:color="1D1D1B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36342B" w14:textId="77777777" w:rsidR="00A15C0C" w:rsidRDefault="00000000">
            <w:pPr>
              <w:spacing w:after="0"/>
              <w:jc w:val="right"/>
            </w:pPr>
            <w:r>
              <w:rPr>
                <w:b/>
                <w:color w:val="52514E"/>
                <w:sz w:val="15"/>
              </w:rPr>
              <w:t>Pacientes contactados</w:t>
            </w:r>
          </w:p>
        </w:tc>
        <w:tc>
          <w:tcPr>
            <w:tcW w:w="1997" w:type="dxa"/>
            <w:tcBorders>
              <w:top w:val="nil"/>
              <w:left w:val="nil"/>
              <w:bottom w:val="single" w:sz="8" w:space="0" w:color="1D1D1B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7C2711" w14:textId="77777777" w:rsidR="00A15C0C" w:rsidRDefault="00000000">
            <w:pPr>
              <w:spacing w:after="0"/>
              <w:jc w:val="right"/>
            </w:pPr>
            <w:r>
              <w:rPr>
                <w:b/>
                <w:color w:val="52514E"/>
                <w:sz w:val="15"/>
              </w:rPr>
              <w:t>Contactos por reingreso detectado</w:t>
            </w:r>
          </w:p>
        </w:tc>
      </w:tr>
      <w:tr w:rsidR="00A15C0C" w14:paraId="7B2157ED" w14:textId="77777777">
        <w:trPr>
          <w:jc w:val="center"/>
        </w:trPr>
        <w:tc>
          <w:tcPr>
            <w:tcW w:w="2313" w:type="dxa"/>
            <w:tcBorders>
              <w:top w:val="nil"/>
              <w:left w:val="nil"/>
              <w:bottom w:val="single" w:sz="4" w:space="0" w:color="E2E1DC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9B9AC5" w14:textId="77777777" w:rsidR="00A15C0C" w:rsidRDefault="00000000">
            <w:pPr>
              <w:spacing w:after="0"/>
            </w:pPr>
            <w:r>
              <w:rPr>
                <w:sz w:val="16"/>
              </w:rPr>
              <w:t>Por defecto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E2E1DC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8D4232" w14:textId="77777777" w:rsidR="00A15C0C" w:rsidRDefault="00000000">
            <w:pPr>
              <w:spacing w:after="0"/>
              <w:jc w:val="right"/>
            </w:pPr>
            <w:r>
              <w:rPr>
                <w:sz w:val="16"/>
              </w:rPr>
              <w:t>0.5</w:t>
            </w:r>
          </w:p>
        </w:tc>
        <w:tc>
          <w:tcPr>
            <w:tcW w:w="1682" w:type="dxa"/>
            <w:tcBorders>
              <w:top w:val="nil"/>
              <w:left w:val="nil"/>
              <w:bottom w:val="single" w:sz="4" w:space="0" w:color="E2E1DC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314EB4" w14:textId="77777777" w:rsidR="00A15C0C" w:rsidRDefault="00000000">
            <w:pPr>
              <w:spacing w:after="0"/>
              <w:jc w:val="right"/>
            </w:pPr>
            <w:r>
              <w:rPr>
                <w:sz w:val="16"/>
              </w:rPr>
              <w:t>0</w:t>
            </w:r>
          </w:p>
        </w:tc>
        <w:tc>
          <w:tcPr>
            <w:tcW w:w="1682" w:type="dxa"/>
            <w:tcBorders>
              <w:top w:val="nil"/>
              <w:left w:val="nil"/>
              <w:bottom w:val="single" w:sz="4" w:space="0" w:color="E2E1DC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A547B9" w14:textId="77777777" w:rsidR="00A15C0C" w:rsidRDefault="00000000">
            <w:pPr>
              <w:spacing w:after="0"/>
              <w:jc w:val="right"/>
            </w:pPr>
            <w:r>
              <w:rPr>
                <w:sz w:val="16"/>
              </w:rPr>
              <w:t>1 257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E2E1DC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BD799F" w14:textId="77777777" w:rsidR="00A15C0C" w:rsidRDefault="00000000">
            <w:pPr>
              <w:spacing w:after="0"/>
              <w:jc w:val="right"/>
            </w:pPr>
            <w:r>
              <w:rPr>
                <w:sz w:val="16"/>
              </w:rPr>
              <w:t>0 %</w:t>
            </w:r>
          </w:p>
        </w:tc>
        <w:tc>
          <w:tcPr>
            <w:tcW w:w="1997" w:type="dxa"/>
            <w:tcBorders>
              <w:top w:val="nil"/>
              <w:left w:val="nil"/>
              <w:bottom w:val="single" w:sz="4" w:space="0" w:color="E2E1DC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EF9484" w14:textId="77777777" w:rsidR="00A15C0C" w:rsidRDefault="00000000">
            <w:pPr>
              <w:spacing w:after="0"/>
              <w:jc w:val="right"/>
            </w:pPr>
            <w:r>
              <w:rPr>
                <w:sz w:val="16"/>
              </w:rPr>
              <w:t>—</w:t>
            </w:r>
          </w:p>
        </w:tc>
      </w:tr>
      <w:tr w:rsidR="00A15C0C" w14:paraId="34A97831" w14:textId="77777777">
        <w:trPr>
          <w:jc w:val="center"/>
        </w:trPr>
        <w:tc>
          <w:tcPr>
            <w:tcW w:w="2313" w:type="dxa"/>
            <w:tcBorders>
              <w:top w:val="nil"/>
              <w:left w:val="nil"/>
              <w:bottom w:val="single" w:sz="4" w:space="0" w:color="E2E1DC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372658" w14:textId="77777777" w:rsidR="00A15C0C" w:rsidRDefault="00000000">
            <w:pPr>
              <w:spacing w:after="0"/>
            </w:pPr>
            <w:r>
              <w:rPr>
                <w:sz w:val="16"/>
              </w:rPr>
              <w:t>Máximo F1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E2E1DC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C6D290" w14:textId="77777777" w:rsidR="00A15C0C" w:rsidRDefault="00000000">
            <w:pPr>
              <w:spacing w:after="0"/>
              <w:jc w:val="right"/>
            </w:pPr>
            <w:r>
              <w:rPr>
                <w:sz w:val="16"/>
              </w:rPr>
              <w:t>0.098</w:t>
            </w:r>
          </w:p>
        </w:tc>
        <w:tc>
          <w:tcPr>
            <w:tcW w:w="1682" w:type="dxa"/>
            <w:tcBorders>
              <w:top w:val="nil"/>
              <w:left w:val="nil"/>
              <w:bottom w:val="single" w:sz="4" w:space="0" w:color="E2E1DC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88BAEC" w14:textId="77777777" w:rsidR="00A15C0C" w:rsidRDefault="00000000">
            <w:pPr>
              <w:spacing w:after="0"/>
              <w:jc w:val="right"/>
            </w:pPr>
            <w:r>
              <w:rPr>
                <w:sz w:val="16"/>
              </w:rPr>
              <w:t>608 (48 %)</w:t>
            </w:r>
          </w:p>
        </w:tc>
        <w:tc>
          <w:tcPr>
            <w:tcW w:w="1682" w:type="dxa"/>
            <w:tcBorders>
              <w:top w:val="nil"/>
              <w:left w:val="nil"/>
              <w:bottom w:val="single" w:sz="4" w:space="0" w:color="E2E1DC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77DD0E" w14:textId="77777777" w:rsidR="00A15C0C" w:rsidRDefault="00000000">
            <w:pPr>
              <w:spacing w:after="0"/>
              <w:jc w:val="right"/>
            </w:pPr>
            <w:r>
              <w:rPr>
                <w:sz w:val="16"/>
              </w:rPr>
              <w:t>649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E2E1DC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683C73" w14:textId="77777777" w:rsidR="00A15C0C" w:rsidRDefault="00000000">
            <w:pPr>
              <w:spacing w:after="0"/>
              <w:jc w:val="right"/>
            </w:pPr>
            <w:r>
              <w:rPr>
                <w:sz w:val="16"/>
              </w:rPr>
              <w:t>30 %</w:t>
            </w:r>
          </w:p>
        </w:tc>
        <w:tc>
          <w:tcPr>
            <w:tcW w:w="1997" w:type="dxa"/>
            <w:tcBorders>
              <w:top w:val="nil"/>
              <w:left w:val="nil"/>
              <w:bottom w:val="single" w:sz="4" w:space="0" w:color="E2E1DC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E3E3DE" w14:textId="77777777" w:rsidR="00A15C0C" w:rsidRDefault="00000000">
            <w:pPr>
              <w:spacing w:after="0"/>
              <w:jc w:val="right"/>
            </w:pPr>
            <w:r>
              <w:rPr>
                <w:sz w:val="16"/>
              </w:rPr>
              <w:t>7.0</w:t>
            </w:r>
          </w:p>
        </w:tc>
      </w:tr>
      <w:tr w:rsidR="00A15C0C" w14:paraId="22D63702" w14:textId="77777777">
        <w:trPr>
          <w:jc w:val="center"/>
        </w:trPr>
        <w:tc>
          <w:tcPr>
            <w:tcW w:w="2313" w:type="dxa"/>
            <w:tcBorders>
              <w:top w:val="nil"/>
              <w:left w:val="nil"/>
              <w:bottom w:val="single" w:sz="4" w:space="0" w:color="E2E1DC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74C0A6" w14:textId="77777777" w:rsidR="00A15C0C" w:rsidRDefault="00000000">
            <w:pPr>
              <w:spacing w:after="0"/>
            </w:pPr>
            <w:r>
              <w:rPr>
                <w:sz w:val="16"/>
              </w:rPr>
              <w:t>Recall ≥ 80 %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E2E1DC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0F79C4" w14:textId="77777777" w:rsidR="00A15C0C" w:rsidRDefault="00000000">
            <w:pPr>
              <w:spacing w:after="0"/>
              <w:jc w:val="right"/>
            </w:pPr>
            <w:r>
              <w:rPr>
                <w:sz w:val="16"/>
              </w:rPr>
              <w:t>0.065</w:t>
            </w:r>
          </w:p>
        </w:tc>
        <w:tc>
          <w:tcPr>
            <w:tcW w:w="1682" w:type="dxa"/>
            <w:tcBorders>
              <w:top w:val="nil"/>
              <w:left w:val="nil"/>
              <w:bottom w:val="single" w:sz="4" w:space="0" w:color="E2E1DC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BF4FC2" w14:textId="77777777" w:rsidR="00A15C0C" w:rsidRDefault="00000000">
            <w:pPr>
              <w:spacing w:after="0"/>
              <w:jc w:val="right"/>
            </w:pPr>
            <w:r>
              <w:rPr>
                <w:sz w:val="16"/>
              </w:rPr>
              <w:t>994 (79 %)</w:t>
            </w:r>
          </w:p>
        </w:tc>
        <w:tc>
          <w:tcPr>
            <w:tcW w:w="1682" w:type="dxa"/>
            <w:tcBorders>
              <w:top w:val="nil"/>
              <w:left w:val="nil"/>
              <w:bottom w:val="single" w:sz="4" w:space="0" w:color="E2E1DC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63B38B" w14:textId="77777777" w:rsidR="00A15C0C" w:rsidRDefault="00000000">
            <w:pPr>
              <w:spacing w:after="0"/>
              <w:jc w:val="right"/>
            </w:pPr>
            <w:r>
              <w:rPr>
                <w:sz w:val="16"/>
              </w:rPr>
              <w:t>263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E2E1DC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EBD52D" w14:textId="77777777" w:rsidR="00A15C0C" w:rsidRDefault="00000000">
            <w:pPr>
              <w:spacing w:after="0"/>
              <w:jc w:val="right"/>
            </w:pPr>
            <w:r>
              <w:rPr>
                <w:sz w:val="16"/>
              </w:rPr>
              <w:t>66 %</w:t>
            </w:r>
          </w:p>
        </w:tc>
        <w:tc>
          <w:tcPr>
            <w:tcW w:w="1997" w:type="dxa"/>
            <w:tcBorders>
              <w:top w:val="nil"/>
              <w:left w:val="nil"/>
              <w:bottom w:val="single" w:sz="4" w:space="0" w:color="E2E1DC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5E1EF3" w14:textId="77777777" w:rsidR="00A15C0C" w:rsidRDefault="00000000">
            <w:pPr>
              <w:spacing w:after="0"/>
              <w:jc w:val="right"/>
            </w:pPr>
            <w:r>
              <w:rPr>
                <w:sz w:val="16"/>
              </w:rPr>
              <w:t>9.3</w:t>
            </w:r>
          </w:p>
        </w:tc>
      </w:tr>
      <w:tr w:rsidR="00A15C0C" w14:paraId="180912A5" w14:textId="77777777">
        <w:trPr>
          <w:jc w:val="center"/>
        </w:trPr>
        <w:tc>
          <w:tcPr>
            <w:tcW w:w="2313" w:type="dxa"/>
            <w:tcBorders>
              <w:top w:val="nil"/>
              <w:left w:val="nil"/>
              <w:bottom w:val="single" w:sz="4" w:space="0" w:color="E2E1DC"/>
              <w:right w:val="nil"/>
            </w:tcBorders>
            <w:shd w:val="clear" w:color="auto" w:fill="FDF1E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08FC54" w14:textId="77777777" w:rsidR="00A15C0C" w:rsidRDefault="00000000">
            <w:pPr>
              <w:spacing w:after="0"/>
            </w:pPr>
            <w:r>
              <w:rPr>
                <w:b/>
                <w:sz w:val="16"/>
              </w:rPr>
              <w:t>Propuesta: dos niveles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E2E1DC"/>
              <w:right w:val="nil"/>
            </w:tcBorders>
            <w:shd w:val="clear" w:color="auto" w:fill="FDF1E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C4E99F" w14:textId="77777777" w:rsidR="00A15C0C" w:rsidRDefault="00000000">
            <w:pPr>
              <w:spacing w:after="0"/>
              <w:jc w:val="right"/>
            </w:pPr>
            <w:r>
              <w:rPr>
                <w:b/>
                <w:sz w:val="16"/>
              </w:rPr>
              <w:t>0.124 / 0.096</w:t>
            </w:r>
          </w:p>
        </w:tc>
        <w:tc>
          <w:tcPr>
            <w:tcW w:w="1682" w:type="dxa"/>
            <w:tcBorders>
              <w:top w:val="nil"/>
              <w:left w:val="nil"/>
              <w:bottom w:val="single" w:sz="4" w:space="0" w:color="E2E1DC"/>
              <w:right w:val="nil"/>
            </w:tcBorders>
            <w:shd w:val="clear" w:color="auto" w:fill="FDF1E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436110" w14:textId="77777777" w:rsidR="00A15C0C" w:rsidRDefault="00000000">
            <w:pPr>
              <w:spacing w:after="0"/>
              <w:jc w:val="right"/>
            </w:pPr>
            <w:r>
              <w:rPr>
                <w:b/>
                <w:sz w:val="16"/>
              </w:rPr>
              <w:t>621 (49 %)</w:t>
            </w:r>
          </w:p>
        </w:tc>
        <w:tc>
          <w:tcPr>
            <w:tcW w:w="1682" w:type="dxa"/>
            <w:tcBorders>
              <w:top w:val="nil"/>
              <w:left w:val="nil"/>
              <w:bottom w:val="single" w:sz="4" w:space="0" w:color="E2E1DC"/>
              <w:right w:val="nil"/>
            </w:tcBorders>
            <w:shd w:val="clear" w:color="auto" w:fill="FDF1E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EF76A8" w14:textId="77777777" w:rsidR="00A15C0C" w:rsidRDefault="00000000">
            <w:pPr>
              <w:spacing w:after="0"/>
              <w:jc w:val="right"/>
            </w:pPr>
            <w:r>
              <w:rPr>
                <w:b/>
                <w:sz w:val="16"/>
              </w:rPr>
              <w:t>636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E2E1DC"/>
              <w:right w:val="nil"/>
            </w:tcBorders>
            <w:shd w:val="clear" w:color="auto" w:fill="FDF1E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A7EEB0" w14:textId="77777777" w:rsidR="00A15C0C" w:rsidRDefault="00000000">
            <w:pPr>
              <w:spacing w:after="0"/>
              <w:jc w:val="right"/>
            </w:pPr>
            <w:r>
              <w:rPr>
                <w:b/>
                <w:sz w:val="16"/>
              </w:rPr>
              <w:t>31 %</w:t>
            </w:r>
          </w:p>
        </w:tc>
        <w:tc>
          <w:tcPr>
            <w:tcW w:w="1997" w:type="dxa"/>
            <w:tcBorders>
              <w:top w:val="nil"/>
              <w:left w:val="nil"/>
              <w:bottom w:val="single" w:sz="4" w:space="0" w:color="E2E1DC"/>
              <w:right w:val="nil"/>
            </w:tcBorders>
            <w:shd w:val="clear" w:color="auto" w:fill="FDF1E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7C9FBF" w14:textId="77777777" w:rsidR="00A15C0C" w:rsidRDefault="00000000">
            <w:pPr>
              <w:spacing w:after="0"/>
              <w:jc w:val="right"/>
            </w:pPr>
            <w:r>
              <w:rPr>
                <w:b/>
                <w:sz w:val="16"/>
              </w:rPr>
              <w:t>7.1</w:t>
            </w:r>
          </w:p>
        </w:tc>
      </w:tr>
    </w:tbl>
    <w:p w14:paraId="052A1719" w14:textId="17807757" w:rsidR="00A15C0C" w:rsidRPr="00CE4606" w:rsidRDefault="00A15C0C">
      <w:pPr>
        <w:spacing w:after="80"/>
        <w:rPr>
          <w:lang w:val="es-CO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571"/>
        <w:gridCol w:w="4941"/>
      </w:tblGrid>
      <w:tr w:rsidR="00A15C0C" w:rsidRPr="00CE4606" w14:paraId="38B6164B" w14:textId="77777777">
        <w:trPr>
          <w:jc w:val="center"/>
        </w:trPr>
        <w:tc>
          <w:tcPr>
            <w:tcW w:w="557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3AC4D833" w14:textId="77777777" w:rsidR="00A15C0C" w:rsidRDefault="00000000">
            <w:pPr>
              <w:spacing w:after="40"/>
            </w:pPr>
            <w:r>
              <w:rPr>
                <w:b/>
                <w:sz w:val="20"/>
              </w:rPr>
              <w:t xml:space="preserve">Por </w:t>
            </w:r>
            <w:proofErr w:type="spellStart"/>
            <w:r>
              <w:rPr>
                <w:b/>
                <w:sz w:val="20"/>
              </w:rPr>
              <w:t>qué</w:t>
            </w:r>
            <w:proofErr w:type="spellEnd"/>
            <w:r>
              <w:rPr>
                <w:b/>
                <w:sz w:val="20"/>
              </w:rPr>
              <w:t xml:space="preserve"> dos </w:t>
            </w:r>
            <w:proofErr w:type="spellStart"/>
            <w:r>
              <w:rPr>
                <w:b/>
                <w:sz w:val="20"/>
              </w:rPr>
              <w:t>niveles</w:t>
            </w:r>
            <w:proofErr w:type="spellEnd"/>
          </w:p>
          <w:p w14:paraId="2CA6E642" w14:textId="77777777" w:rsidR="00A15C0C" w:rsidRDefault="00000000">
            <w:pPr>
              <w:pStyle w:val="ListBullet"/>
            </w:pPr>
            <w:r w:rsidRPr="00CE4606">
              <w:rPr>
                <w:b/>
                <w:sz w:val="17"/>
                <w:lang w:val="es-CO"/>
              </w:rPr>
              <w:t>Minimizar los falsos negativos</w:t>
            </w:r>
            <w:r w:rsidRPr="00CE4606">
              <w:rPr>
                <w:sz w:val="17"/>
                <w:lang w:val="es-CO"/>
              </w:rPr>
              <w:t xml:space="preserve"> (pacientes que reingresan sin haber sido contactados) fue la prioridad inicial. </w:t>
            </w:r>
            <w:r>
              <w:rPr>
                <w:sz w:val="17"/>
              </w:rPr>
              <w:t>Con recall ≥ 80 % se escapan 263 reingresos en vez de 649.</w:t>
            </w:r>
          </w:p>
          <w:p w14:paraId="19DC41A1" w14:textId="77777777" w:rsidR="00A15C0C" w:rsidRPr="00CE4606" w:rsidRDefault="00000000">
            <w:pPr>
              <w:pStyle w:val="ListBullet"/>
              <w:rPr>
                <w:lang w:val="es-CO"/>
              </w:rPr>
            </w:pPr>
            <w:r w:rsidRPr="00CE4606">
              <w:rPr>
                <w:b/>
                <w:sz w:val="17"/>
                <w:lang w:val="es-CO"/>
              </w:rPr>
              <w:t>Pero tiene un precio alto:</w:t>
            </w:r>
            <w:r w:rsidRPr="00CE4606">
              <w:rPr>
                <w:sz w:val="17"/>
                <w:lang w:val="es-CO"/>
              </w:rPr>
              <w:t xml:space="preserve"> cada reingreso extra detectado al pasar de F1 a </w:t>
            </w:r>
            <w:proofErr w:type="spellStart"/>
            <w:r w:rsidRPr="00CE4606">
              <w:rPr>
                <w:sz w:val="17"/>
                <w:lang w:val="es-CO"/>
              </w:rPr>
              <w:t>recall</w:t>
            </w:r>
            <w:proofErr w:type="spellEnd"/>
            <w:r w:rsidRPr="00CE4606">
              <w:rPr>
                <w:sz w:val="17"/>
                <w:lang w:val="es-CO"/>
              </w:rPr>
              <w:t xml:space="preserve"> 80 % cuesta </w:t>
            </w:r>
            <w:r w:rsidRPr="00CE4606">
              <w:rPr>
                <w:b/>
                <w:sz w:val="17"/>
                <w:lang w:val="es-CO"/>
              </w:rPr>
              <w:t>12 contactos innecesarios</w:t>
            </w:r>
            <w:r w:rsidRPr="00CE4606">
              <w:rPr>
                <w:sz w:val="17"/>
                <w:lang w:val="es-CO"/>
              </w:rPr>
              <w:t>, y obliga a contactar al 66 % de los pacientes. Con ese umbral el modelo apenas le gana a “contactar a todos” (+3.5 pacientes por cada 1 000 en beneficio neto).</w:t>
            </w:r>
          </w:p>
          <w:p w14:paraId="31CE7430" w14:textId="77777777" w:rsidR="00A15C0C" w:rsidRPr="00CE4606" w:rsidRDefault="00000000">
            <w:pPr>
              <w:pStyle w:val="ListBullet"/>
              <w:rPr>
                <w:lang w:val="es-CO"/>
              </w:rPr>
            </w:pPr>
            <w:r w:rsidRPr="00CE4606">
              <w:rPr>
                <w:b/>
                <w:sz w:val="17"/>
                <w:lang w:val="es-CO"/>
              </w:rPr>
              <w:t>La solución es diferenciar la intervención:</w:t>
            </w:r>
            <w:r w:rsidRPr="00CE4606">
              <w:rPr>
                <w:sz w:val="17"/>
                <w:lang w:val="es-CO"/>
              </w:rPr>
              <w:t xml:space="preserve"> lo caro (cita presencial) solo para el riesgo alto, donde 1 de cada 5 reingresa; lo barato (teleconsulta) para el riesgo intermedio.</w:t>
            </w:r>
          </w:p>
          <w:p w14:paraId="584C1FD7" w14:textId="77777777" w:rsidR="00A15C0C" w:rsidRPr="00CE4606" w:rsidRDefault="00000000">
            <w:pPr>
              <w:spacing w:before="80" w:after="0"/>
              <w:rPr>
                <w:lang w:val="es-CO"/>
              </w:rPr>
            </w:pPr>
            <w:r w:rsidRPr="00CE4606">
              <w:rPr>
                <w:b/>
                <w:color w:val="52514E"/>
                <w:sz w:val="17"/>
                <w:lang w:val="es-CO"/>
              </w:rPr>
              <w:t xml:space="preserve">Lectura estadística del umbral: </w:t>
            </w:r>
            <w:r w:rsidRPr="00CE4606">
              <w:rPr>
                <w:color w:val="52514E"/>
                <w:sz w:val="17"/>
                <w:lang w:val="es-CO"/>
              </w:rPr>
              <w:t xml:space="preserve">un umbral de riesgo p equivale a aceptar como máximo (1 − p)/p falsas alarmas por cada reingreso detectado. Con 0.065 son hasta ~14 (en la prueba se observaron 8.3); con 0.10, hasta ~9. En la curva de decisión (Vickers y Elkin, 2006), con umbral 0.10 el modelo </w:t>
            </w:r>
            <w:proofErr w:type="gramStart"/>
            <w:r w:rsidRPr="00CE4606">
              <w:rPr>
                <w:color w:val="52514E"/>
                <w:sz w:val="17"/>
                <w:lang w:val="es-CO"/>
              </w:rPr>
            </w:r>
            <w:proofErr w:type="gramEnd"/>
            <w:r w:rsidRPr="00CE4606">
              <w:rPr>
                <w:color w:val="52514E"/>
                <w:sz w:val="17"/>
                <w:lang w:val="es-CO"/>
              </w:rPr>
            </w:r>
            <w:r w:rsidRPr="00CE4606">
              <w:rPr>
                <w:color w:val="52514E"/>
                <w:sz w:val="17"/>
                <w:lang w:val="es-CO"/>
              </w:rPr>
              <w:lastRenderedPageBreak/>
              <w:t>aporta +14.7 casos netos por cada 1 000 pacientes, mientras que “contactar a todos” ya es negativo (−11.3).</w:t>
            </w:r>
          </w:p>
        </w:tc>
        <w:tc>
          <w:tcPr>
            <w:tcW w:w="49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20" w:type="dxa"/>
              <w:bottom w:w="0" w:type="dxa"/>
              <w:right w:w="0" w:type="dxa"/>
            </w:tcMar>
          </w:tcPr>
          <w:p w14:paraId="7B6E631A" w14:textId="77777777" w:rsidR="00A15C0C" w:rsidRDefault="00000000">
            <w:pPr>
              <w:spacing w:after="20"/>
            </w:pPr>
            <w:r>
              <w:rPr>
                <w:noProof/>
              </w:rPr>
              <w:lastRenderedPageBreak/>
              <w:drawing>
                <wp:inline distT="0" distB="0" distL="0" distR="0" wp14:anchorId="49BA0413" wp14:editId="003B2A0B">
                  <wp:extent cx="2926080" cy="1674607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_ahorro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16746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DCE124" w14:textId="77777777" w:rsidR="00A15C0C" w:rsidRPr="00CE4606" w:rsidRDefault="00000000">
            <w:pPr>
              <w:rPr>
                <w:lang w:val="es-CO"/>
              </w:rPr>
            </w:pPr>
            <w:r w:rsidRPr="00CE4606">
              <w:rPr>
                <w:color w:val="52514E"/>
                <w:sz w:val="15"/>
                <w:lang w:val="es-CO"/>
              </w:rPr>
              <w:t xml:space="preserve">Ahorro neto estimado en los pacientes de prueba. </w:t>
            </w:r>
            <w:r w:rsidRPr="00CE4606">
              <w:rPr>
                <w:b/>
                <w:color w:val="52514E"/>
                <w:sz w:val="15"/>
                <w:lang w:val="es-CO"/>
              </w:rPr>
              <w:t>Supuestos ilustrativos:</w:t>
            </w:r>
            <w:r w:rsidRPr="00CE4606">
              <w:rPr>
                <w:color w:val="52514E"/>
                <w:sz w:val="15"/>
                <w:lang w:val="es-CO"/>
              </w:rPr>
              <w:t xml:space="preserve"> reingreso US$15 000; teleconsulta US$50 que evita el 5 % de los reingresos; cita presencial US$250 que evita el 20 %. *Asignar según el riesgo calibrado ahorra más, pero exige citas presenciales para el 41 % de los pacientes. Ampliar la teleconsulta al 66 % de los pacientes también ahorra algo más (US$44 300).</w:t>
            </w:r>
            <w:r w:rsidRPr="00CE4606">
              <w:rPr>
                <w:color w:val="52514E"/>
                <w:sz w:val="15"/>
                <w:lang w:val="es-CO"/>
              </w:rPr>
            </w:r>
          </w:p>
        </w:tc>
      </w:tr>
    </w:tbl>
    <w:p w14:paraId="3C820A85" w14:textId="77777777" w:rsidR="00A15C0C" w:rsidRPr="00CE4606" w:rsidRDefault="00A15C0C">
      <w:pPr>
        <w:spacing w:after="20"/>
        <w:rPr>
          <w:lang w:val="es-CO"/>
        </w:rPr>
      </w:pPr>
    </w:p>
    <w:p w14:paraId="63DA70E6" w14:textId="77777777" w:rsidR="00A15C0C" w:rsidRDefault="00000000">
      <w:pPr>
        <w:spacing w:before="40" w:after="40"/>
      </w:pPr>
      <w:r>
        <w:rPr>
          <w:b/>
          <w:sz w:val="20"/>
        </w:rPr>
        <w:t xml:space="preserve">El </w:t>
      </w:r>
      <w:proofErr w:type="spellStart"/>
      <w:r>
        <w:rPr>
          <w:b/>
          <w:sz w:val="20"/>
        </w:rPr>
        <w:t>caso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económico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69"/>
        <w:gridCol w:w="1787"/>
        <w:gridCol w:w="1787"/>
        <w:gridCol w:w="3469"/>
      </w:tblGrid>
      <w:tr w:rsidR="00A15C0C" w14:paraId="77A921B0" w14:textId="77777777">
        <w:trPr>
          <w:jc w:val="center"/>
        </w:trPr>
        <w:tc>
          <w:tcPr>
            <w:tcW w:w="3469" w:type="dxa"/>
            <w:tcBorders>
              <w:top w:val="nil"/>
              <w:left w:val="nil"/>
              <w:bottom w:val="single" w:sz="8" w:space="0" w:color="1D1D1B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2A0690" w14:textId="77777777" w:rsidR="00A15C0C" w:rsidRDefault="00000000">
            <w:pPr>
              <w:spacing w:after="0"/>
            </w:pPr>
            <w:r>
              <w:rPr>
                <w:b/>
                <w:color w:val="52514E"/>
                <w:sz w:val="15"/>
              </w:rPr>
              <w:t>Política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8" w:space="0" w:color="1D1D1B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4AA871" w14:textId="77777777" w:rsidR="00A15C0C" w:rsidRDefault="00000000">
            <w:pPr>
              <w:spacing w:after="0"/>
              <w:jc w:val="right"/>
            </w:pPr>
            <w:r>
              <w:rPr>
                <w:b/>
                <w:color w:val="52514E"/>
                <w:sz w:val="15"/>
              </w:rPr>
              <w:t>Costo (US$ / 1 000 pacientes)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8" w:space="0" w:color="1D1D1B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2CC0A1" w14:textId="77777777" w:rsidR="00A15C0C" w:rsidRDefault="00000000">
            <w:pPr>
              <w:spacing w:after="0"/>
              <w:jc w:val="right"/>
            </w:pPr>
            <w:r>
              <w:rPr>
                <w:b/>
                <w:color w:val="52514E"/>
                <w:sz w:val="15"/>
              </w:rPr>
              <w:t>Ahorro neto (US$ / 1 000 pacientes)</w:t>
            </w:r>
          </w:p>
        </w:tc>
        <w:tc>
          <w:tcPr>
            <w:tcW w:w="3469" w:type="dxa"/>
            <w:tcBorders>
              <w:top w:val="nil"/>
              <w:left w:val="nil"/>
              <w:bottom w:val="single" w:sz="8" w:space="0" w:color="1D1D1B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E6C890" w14:textId="77777777" w:rsidR="00A15C0C" w:rsidRDefault="00000000">
            <w:pPr>
              <w:spacing w:after="0"/>
            </w:pPr>
            <w:r>
              <w:rPr>
                <w:b/>
                <w:color w:val="52514E"/>
                <w:sz w:val="15"/>
              </w:rPr>
              <w:t>Lectura</w:t>
            </w:r>
          </w:p>
        </w:tc>
      </w:tr>
      <w:tr w:rsidR="00A15C0C" w:rsidRPr="00CE4606" w14:paraId="5E1D8246" w14:textId="77777777">
        <w:trPr>
          <w:jc w:val="center"/>
        </w:trPr>
        <w:tc>
          <w:tcPr>
            <w:tcW w:w="3469" w:type="dxa"/>
            <w:tcBorders>
              <w:top w:val="nil"/>
              <w:left w:val="nil"/>
              <w:bottom w:val="single" w:sz="4" w:space="0" w:color="E2E1DC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7E5400" w14:textId="77777777" w:rsidR="00A15C0C" w:rsidRDefault="00000000">
            <w:pPr>
              <w:spacing w:after="0"/>
            </w:pPr>
            <w:r>
              <w:rPr>
                <w:sz w:val="16"/>
              </w:rPr>
              <w:t>Cita presencial a todos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4" w:space="0" w:color="E2E1DC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694F9A" w14:textId="77777777" w:rsidR="00A15C0C" w:rsidRDefault="00000000">
            <w:pPr>
              <w:spacing w:after="0"/>
              <w:jc w:val="right"/>
            </w:pPr>
            <w:r>
              <w:rPr>
                <w:sz w:val="16"/>
              </w:rPr>
              <w:t>250 000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4" w:space="0" w:color="E2E1DC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1FAB59" w14:textId="77777777" w:rsidR="00A15C0C" w:rsidRDefault="00000000">
            <w:pPr>
              <w:spacing w:after="0"/>
              <w:jc w:val="right"/>
            </w:pPr>
            <w:r>
              <w:rPr>
                <w:sz w:val="16"/>
              </w:rPr>
              <w:t>19 400</w:t>
            </w:r>
          </w:p>
        </w:tc>
        <w:tc>
          <w:tcPr>
            <w:tcW w:w="3469" w:type="dxa"/>
            <w:tcBorders>
              <w:top w:val="nil"/>
              <w:left w:val="nil"/>
              <w:bottom w:val="single" w:sz="4" w:space="0" w:color="E2E1DC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FD5E75" w14:textId="77777777" w:rsidR="00A15C0C" w:rsidRPr="00CE4606" w:rsidRDefault="00000000">
            <w:pPr>
              <w:spacing w:after="0"/>
              <w:rPr>
                <w:lang w:val="es-CO"/>
              </w:rPr>
            </w:pPr>
            <w:r w:rsidRPr="00CE4606">
              <w:rPr>
                <w:sz w:val="16"/>
                <w:lang w:val="es-CO"/>
              </w:rPr>
              <w:t>La mejor opción sin modelo</w:t>
            </w:r>
          </w:p>
        </w:tc>
      </w:tr>
      <w:tr w:rsidR="00A15C0C" w:rsidRPr="00CE4606" w14:paraId="4A48A30D" w14:textId="77777777">
        <w:trPr>
          <w:jc w:val="center"/>
        </w:trPr>
        <w:tc>
          <w:tcPr>
            <w:tcW w:w="3469" w:type="dxa"/>
            <w:tcBorders>
              <w:top w:val="nil"/>
              <w:left w:val="nil"/>
              <w:bottom w:val="single" w:sz="4" w:space="0" w:color="E2E1DC"/>
              <w:right w:val="nil"/>
            </w:tcBorders>
            <w:shd w:val="clear" w:color="auto" w:fill="FDF1E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1B941E" w14:textId="77777777" w:rsidR="00A15C0C" w:rsidRDefault="00000000">
            <w:pPr>
              <w:spacing w:after="0"/>
            </w:pPr>
            <w:proofErr w:type="spellStart"/>
            <w:r>
              <w:rPr>
                <w:b/>
                <w:sz w:val="16"/>
              </w:rPr>
              <w:t>Propuesta</w:t>
            </w:r>
            <w:proofErr w:type="spellEnd"/>
            <w:r>
              <w:rPr>
                <w:b/>
                <w:sz w:val="16"/>
              </w:rPr>
              <w:t xml:space="preserve">: 10 % </w:t>
            </w:r>
            <w:proofErr w:type="spellStart"/>
            <w:r>
              <w:rPr>
                <w:b/>
                <w:sz w:val="16"/>
              </w:rPr>
              <w:t>presencial</w:t>
            </w:r>
            <w:proofErr w:type="spellEnd"/>
            <w:r>
              <w:rPr>
                <w:b/>
                <w:sz w:val="16"/>
              </w:rPr>
              <w:t xml:space="preserve"> + 20 % teleconsulta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4" w:space="0" w:color="E2E1DC"/>
              <w:right w:val="nil"/>
            </w:tcBorders>
            <w:shd w:val="clear" w:color="auto" w:fill="FDF1E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0E10D4" w14:textId="77777777" w:rsidR="00A15C0C" w:rsidRDefault="00000000">
            <w:pPr>
              <w:spacing w:after="0"/>
              <w:jc w:val="right"/>
            </w:pPr>
            <w:r>
              <w:rPr>
                <w:b/>
                <w:sz w:val="16"/>
              </w:rPr>
              <w:t>37 100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4" w:space="0" w:color="E2E1DC"/>
              <w:right w:val="nil"/>
            </w:tcBorders>
            <w:shd w:val="clear" w:color="auto" w:fill="FDF1E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A844E5" w14:textId="77777777" w:rsidR="00A15C0C" w:rsidRDefault="00000000">
            <w:pPr>
              <w:spacing w:after="0"/>
              <w:jc w:val="right"/>
            </w:pPr>
            <w:r>
              <w:rPr>
                <w:b/>
                <w:sz w:val="16"/>
              </w:rPr>
              <w:t>41 700</w:t>
            </w:r>
          </w:p>
        </w:tc>
        <w:tc>
          <w:tcPr>
            <w:tcW w:w="3469" w:type="dxa"/>
            <w:tcBorders>
              <w:top w:val="nil"/>
              <w:left w:val="nil"/>
              <w:bottom w:val="single" w:sz="4" w:space="0" w:color="E2E1DC"/>
              <w:right w:val="nil"/>
            </w:tcBorders>
            <w:shd w:val="clear" w:color="auto" w:fill="FDF1E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67E1A7" w14:textId="77777777" w:rsidR="00A15C0C" w:rsidRPr="00CE4606" w:rsidRDefault="00000000">
            <w:pPr>
              <w:spacing w:after="0"/>
              <w:rPr>
                <w:lang w:val="es-CO"/>
              </w:rPr>
            </w:pPr>
            <w:r w:rsidRPr="00CE4606">
              <w:rPr>
                <w:b/>
                <w:sz w:val="16"/>
                <w:lang w:val="es-CO"/>
              </w:rPr>
              <w:t>≈ 2× el ahorro, con 7× menos gasto</w:t>
            </w:r>
          </w:p>
        </w:tc>
      </w:tr>
      <w:tr w:rsidR="00A15C0C" w:rsidRPr="00CE4606" w14:paraId="742C956E" w14:textId="77777777">
        <w:trPr>
          <w:jc w:val="center"/>
        </w:trPr>
        <w:tc>
          <w:tcPr>
            <w:tcW w:w="3469" w:type="dxa"/>
            <w:tcBorders>
              <w:top w:val="nil"/>
              <w:left w:val="nil"/>
              <w:bottom w:val="single" w:sz="4" w:space="0" w:color="E2E1DC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A40C54" w14:textId="77777777" w:rsidR="00A15C0C" w:rsidRDefault="00000000">
            <w:pPr>
              <w:spacing w:after="0"/>
            </w:pPr>
            <w:proofErr w:type="spellStart"/>
            <w:r>
              <w:rPr>
                <w:sz w:val="16"/>
              </w:rPr>
              <w:t>Según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riesgo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calibrado</w:t>
            </w:r>
            <w:proofErr w:type="spellEnd"/>
          </w:p>
        </w:tc>
        <w:tc>
          <w:tcPr>
            <w:tcW w:w="1787" w:type="dxa"/>
            <w:tcBorders>
              <w:top w:val="nil"/>
              <w:left w:val="nil"/>
              <w:bottom w:val="single" w:sz="4" w:space="0" w:color="E2E1DC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79CDDB" w14:textId="77777777" w:rsidR="00A15C0C" w:rsidRDefault="00000000">
            <w:pPr>
              <w:spacing w:after="0"/>
              <w:jc w:val="right"/>
            </w:pPr>
            <w:r>
              <w:rPr>
                <w:sz w:val="16"/>
              </w:rPr>
              <w:t>114 300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4" w:space="0" w:color="E2E1DC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DB0E24" w14:textId="77777777" w:rsidR="00A15C0C" w:rsidRDefault="00000000">
            <w:pPr>
              <w:spacing w:after="0"/>
              <w:jc w:val="right"/>
            </w:pPr>
            <w:r>
              <w:rPr>
                <w:sz w:val="16"/>
              </w:rPr>
              <w:t>59 500</w:t>
            </w:r>
          </w:p>
        </w:tc>
        <w:tc>
          <w:tcPr>
            <w:tcW w:w="3469" w:type="dxa"/>
            <w:tcBorders>
              <w:top w:val="nil"/>
              <w:left w:val="nil"/>
              <w:bottom w:val="single" w:sz="4" w:space="0" w:color="E2E1DC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BA7524" w14:textId="77777777" w:rsidR="00A15C0C" w:rsidRPr="00CE4606" w:rsidRDefault="00000000">
            <w:pPr>
              <w:spacing w:after="0"/>
              <w:rPr>
                <w:lang w:val="es-CO"/>
              </w:rPr>
            </w:pPr>
            <w:r w:rsidRPr="00CE4606">
              <w:rPr>
                <w:sz w:val="16"/>
                <w:lang w:val="es-CO"/>
              </w:rPr>
              <w:t>Máximo ahorro si hay capacidad para muchas citas</w:t>
            </w:r>
          </w:p>
        </w:tc>
      </w:tr>
    </w:tbl>
    <w:p w14:paraId="6D6D955E" w14:textId="77777777" w:rsidR="00A15C0C" w:rsidRPr="00CE4606" w:rsidRDefault="00A15C0C">
      <w:pPr>
        <w:spacing w:after="40"/>
        <w:rPr>
          <w:lang w:val="es-CO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12"/>
      </w:tblGrid>
      <w:tr w:rsidR="00A15C0C" w:rsidRPr="00CE4606" w14:paraId="75AAD02A" w14:textId="77777777">
        <w:trPr>
          <w:jc w:val="center"/>
        </w:trPr>
        <w:tc>
          <w:tcPr>
            <w:tcW w:w="10512" w:type="dxa"/>
            <w:tcBorders>
              <w:top w:val="nil"/>
              <w:left w:val="nil"/>
              <w:bottom w:val="nil"/>
              <w:right w:val="nil"/>
            </w:tcBorders>
            <w:shd w:val="clear" w:color="auto" w:fill="EEF4FC"/>
            <w:tcMar>
              <w:top w:w="90" w:type="dxa"/>
              <w:left w:w="150" w:type="dxa"/>
              <w:bottom w:w="90" w:type="dxa"/>
              <w:right w:w="120" w:type="dxa"/>
            </w:tcMar>
          </w:tcPr>
          <w:p w14:paraId="20083375" w14:textId="77777777" w:rsidR="00A15C0C" w:rsidRPr="00CE4606" w:rsidRDefault="00000000">
            <w:pPr>
              <w:spacing w:after="0"/>
              <w:rPr>
                <w:lang w:val="es-CO"/>
              </w:rPr>
            </w:pPr>
            <w:r w:rsidRPr="00CE4606">
              <w:rPr>
                <w:b/>
                <w:sz w:val="17"/>
                <w:lang w:val="es-CO"/>
              </w:rPr>
              <w:t xml:space="preserve">Función de costo supuesta. </w:t>
            </w:r>
            <w:r w:rsidRPr="00CE4606">
              <w:rPr>
                <w:sz w:val="17"/>
                <w:lang w:val="es-CO"/>
              </w:rPr>
              <w:t xml:space="preserve">Para optimizar la decisión supusimos que, para un paciente con riesgo r (probabilidad recalibrada), cada intervención genera un </w:t>
            </w:r>
            <w:r w:rsidRPr="00CE4606">
              <w:rPr>
                <w:b/>
                <w:sz w:val="17"/>
                <w:lang w:val="es-CO"/>
              </w:rPr>
              <w:t>ahorro esperado = r × efectividad × costo del reingreso − costo de la intervención</w:t>
            </w:r>
            <w:r w:rsidRPr="00CE4606">
              <w:rPr>
                <w:sz w:val="17"/>
                <w:lang w:val="es-CO"/>
              </w:rPr>
              <w:t xml:space="preserve">, con reingreso US$15 000, teleconsulta US$50 (evita el 5 %) y cita presencial US$250 (evita el 20 %). Así, la teleconsulta se paga sola desde un riesgo de 6.7 % y la cita presencial desde 8.3 %. </w:t>
            </w:r>
            <w:r w:rsidRPr="00CE4606">
              <w:rPr>
                <w:b/>
                <w:sz w:val="17"/>
                <w:lang w:val="es-CO"/>
              </w:rPr>
              <w:t>Estos valores son supuestos y pueden variar</w:t>
            </w:r>
            <w:r w:rsidRPr="00CE4606">
              <w:rPr>
                <w:sz w:val="17"/>
                <w:lang w:val="es-CO"/>
              </w:rPr>
              <w:t xml:space="preserve"> según el hospital, el país y el tipo de programa; si cambian, cambian los cortes óptimos y el ahorro. También suponemos que la efectividad es la misma para todos los pacientes, sin importar su riesgo; en la realidad podría ser mayor o menor en los más graves. Por eso los probamos en un análisis de sensibilidad y dejamos una calculadora en el notebook del KNN para recalcularlos.</w:t>
            </w:r>
          </w:p>
        </w:tc>
      </w:tr>
    </w:tbl>
    <w:p w14:paraId="3500D218" w14:textId="77777777" w:rsidR="00A15C0C" w:rsidRPr="00CE4606" w:rsidRDefault="00A15C0C">
      <w:pPr>
        <w:spacing w:after="20"/>
        <w:rPr>
          <w:lang w:val="es-CO"/>
        </w:rPr>
      </w:pPr>
    </w:p>
    <w:p w14:paraId="7B88BFDA" w14:textId="77777777" w:rsidR="00A15C0C" w:rsidRPr="00CE4606" w:rsidRDefault="00000000">
      <w:pPr>
        <w:spacing w:after="0"/>
        <w:rPr>
          <w:lang w:val="es-CO"/>
        </w:rPr>
      </w:pPr>
      <w:r w:rsidRPr="00CE4606">
        <w:rPr>
          <w:b/>
          <w:lang w:val="es-CO"/>
        </w:rPr>
        <w:t xml:space="preserve">Sensibilidad: </w:t>
      </w:r>
      <w:r w:rsidRPr="00CE4606">
        <w:rPr>
          <w:lang w:val="es-CO"/>
        </w:rPr>
        <w:t xml:space="preserve">repetimos el cálculo con 12 combinaciones de efectividad (teleconsulta 0–10 %, cita presencial 10–30 %). La propuesta ahorra en </w:t>
      </w:r>
      <w:r w:rsidRPr="00CE4606">
        <w:rPr>
          <w:b/>
          <w:lang w:val="es-CO"/>
        </w:rPr>
        <w:t>11 de 12</w:t>
      </w:r>
      <w:r w:rsidRPr="00CE4606">
        <w:rPr>
          <w:lang w:val="es-CO"/>
        </w:rPr>
        <w:t xml:space="preserve">; solo pierde si la teleconsulta no tiene ningún efecto y la cita presencial evita apenas el 10 %. </w:t>
      </w:r>
      <w:r w:rsidRPr="00CE4606">
        <w:rPr>
          <w:b/>
          <w:lang w:val="es-CO"/>
        </w:rPr>
        <w:t>El supuesto que más pesa es la efectividad real de las intervenciones</w:t>
      </w:r>
      <w:r w:rsidRPr="00CE4606">
        <w:rPr>
          <w:lang w:val="es-CO"/>
        </w:rPr>
        <w:t xml:space="preserve">, que este </w:t>
      </w:r>
      <w:proofErr w:type="spellStart"/>
      <w:r w:rsidRPr="00CE4606">
        <w:rPr>
          <w:lang w:val="es-CO"/>
        </w:rPr>
        <w:t>dataset</w:t>
      </w:r>
      <w:proofErr w:type="spellEnd"/>
      <w:r w:rsidRPr="00CE4606">
        <w:rPr>
          <w:lang w:val="es-CO"/>
        </w:rPr>
        <w:t xml:space="preserve"> no puede medir: el siguiente paso natural es un piloto.</w:t>
      </w:r>
    </w:p>
    <w:p w14:paraId="02F25380" w14:textId="77777777" w:rsidR="009C72C2" w:rsidRDefault="009C72C2" w:rsidP="009C72C2">
      <w:pPr>
        <w:rPr>
          <w:lang w:val="es-CO"/>
        </w:rPr>
      </w:pPr>
    </w:p>
    <w:p w14:paraId="35315F7E" w14:textId="693A76F4" w:rsidR="00A15C0C" w:rsidRPr="00CE4606" w:rsidRDefault="00000000" w:rsidP="009C72C2">
      <w:pPr>
        <w:pageBreakBefore/>
        <w:rPr>
          <w:lang w:val="es-CO"/>
        </w:rPr>
      </w:pPr>
      <w:r w:rsidRPr="00CE4606">
        <w:rPr>
          <w:b/>
          <w:sz w:val="26"/>
          <w:lang w:val="es-CO"/>
        </w:rPr>
        <w:t>3. C</w:t>
      </w:r>
      <w:proofErr w:type="spellStart"/>
      <w:r w:rsidRPr="00CE4606">
        <w:rPr>
          <w:b/>
          <w:sz w:val="26"/>
          <w:lang w:val="es-CO"/>
        </w:rPr>
        <w:t>lustering</w:t>
      </w:r>
      <w:proofErr w:type="spellEnd"/>
      <w:r w:rsidRPr="00CE4606">
        <w:rPr>
          <w:b/>
          <w:sz w:val="26"/>
          <w:lang w:val="es-CO"/>
        </w:rPr>
        <w:t>: ¿existen “tipos” de pacientes?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56"/>
        <w:gridCol w:w="5256"/>
      </w:tblGrid>
      <w:tr w:rsidR="00A15C0C" w:rsidRPr="00CE4606" w14:paraId="4C927148" w14:textId="77777777">
        <w:trPr>
          <w:jc w:val="center"/>
        </w:trPr>
        <w:tc>
          <w:tcPr>
            <w:tcW w:w="525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42292B0E" w14:textId="77777777" w:rsidR="00A15C0C" w:rsidRPr="00CE4606" w:rsidRDefault="00000000">
            <w:pPr>
              <w:spacing w:after="40"/>
              <w:rPr>
                <w:lang w:val="es-CO"/>
              </w:rPr>
            </w:pPr>
            <w:r w:rsidRPr="00CE4606">
              <w:rPr>
                <w:b/>
                <w:color w:val="2A78D6"/>
                <w:sz w:val="20"/>
                <w:lang w:val="es-CO"/>
              </w:rPr>
              <w:t>DBSCAN: no hay grupos naturales</w:t>
            </w:r>
          </w:p>
          <w:p w14:paraId="4065A076" w14:textId="77777777" w:rsidR="00A15C0C" w:rsidRPr="00CE4606" w:rsidRDefault="00000000">
            <w:pPr>
              <w:rPr>
                <w:lang w:val="es-CO"/>
              </w:rPr>
            </w:pPr>
            <w:r w:rsidRPr="00CE4606">
              <w:rPr>
                <w:sz w:val="17"/>
                <w:lang w:val="es-CO"/>
              </w:rPr>
              <w:t xml:space="preserve">La primera versión encontró 4 </w:t>
            </w:r>
            <w:proofErr w:type="spellStart"/>
            <w:proofErr w:type="gramStart"/>
            <w:r w:rsidRPr="00CE4606">
              <w:rPr>
                <w:sz w:val="17"/>
                <w:lang w:val="es-CO"/>
              </w:rPr>
              <w:t>clusters</w:t>
            </w:r>
            <w:proofErr w:type="spellEnd"/>
            <w:proofErr w:type="gramEnd"/>
            <w:r w:rsidRPr="00CE4606">
              <w:rPr>
                <w:sz w:val="17"/>
                <w:lang w:val="es-CO"/>
              </w:rPr>
              <w:t xml:space="preserve"> y 14.5 % de ruido. Al revisarla con la métrica diseñada para </w:t>
            </w:r>
            <w:proofErr w:type="spellStart"/>
            <w:proofErr w:type="gramStart"/>
            <w:r w:rsidRPr="00CE4606">
              <w:rPr>
                <w:sz w:val="17"/>
                <w:lang w:val="es-CO"/>
              </w:rPr>
              <w:t>clusters</w:t>
            </w:r>
            <w:proofErr w:type="spellEnd"/>
            <w:proofErr w:type="gramEnd"/>
            <w:r w:rsidRPr="00CE4606">
              <w:rPr>
                <w:sz w:val="17"/>
                <w:lang w:val="es-CO"/>
              </w:rPr>
              <w:t xml:space="preserve"> por densidad, el resultado cambió:</w:t>
            </w:r>
          </w:p>
          <w:p w14:paraId="15C9A9AF" w14:textId="77777777" w:rsidR="00A15C0C" w:rsidRPr="00CE4606" w:rsidRDefault="00000000">
            <w:pPr>
              <w:pStyle w:val="ListBullet"/>
              <w:rPr>
                <w:lang w:val="es-CO"/>
              </w:rPr>
            </w:pPr>
            <w:r w:rsidRPr="00CE4606">
              <w:rPr>
                <w:b/>
                <w:sz w:val="17"/>
                <w:lang w:val="es-CO"/>
              </w:rPr>
              <w:t>DBCV</w:t>
            </w:r>
            <w:r w:rsidRPr="00CE4606">
              <w:rPr>
                <w:sz w:val="17"/>
                <w:lang w:val="es-CO"/>
              </w:rPr>
              <w:t xml:space="preserve"> (</w:t>
            </w:r>
            <w:proofErr w:type="spellStart"/>
            <w:r w:rsidRPr="00CE4606">
              <w:rPr>
                <w:sz w:val="17"/>
                <w:lang w:val="es-CO"/>
              </w:rPr>
              <w:t>Moulavi</w:t>
            </w:r>
            <w:proofErr w:type="spellEnd"/>
            <w:r w:rsidRPr="00CE4606">
              <w:rPr>
                <w:sz w:val="17"/>
                <w:lang w:val="es-CO"/>
              </w:rPr>
              <w:t xml:space="preserve"> et al., 2014; de −1 a +1): </w:t>
            </w:r>
            <w:r w:rsidRPr="00CE4606">
              <w:rPr>
                <w:b/>
                <w:sz w:val="17"/>
                <w:lang w:val="es-CO"/>
              </w:rPr>
              <w:t>−0.30</w:t>
            </w:r>
            <w:r w:rsidRPr="00CE4606">
              <w:rPr>
                <w:sz w:val="17"/>
                <w:lang w:val="es-CO"/>
              </w:rPr>
              <w:t>, igual que una regla trivial por tipo de visita previa (−0.34).</w:t>
            </w:r>
          </w:p>
          <w:p w14:paraId="747F57BE" w14:textId="77777777" w:rsidR="00A15C0C" w:rsidRPr="00CE4606" w:rsidRDefault="00000000">
            <w:pPr>
              <w:pStyle w:val="ListBullet"/>
              <w:rPr>
                <w:lang w:val="es-CO"/>
              </w:rPr>
            </w:pPr>
            <w:r w:rsidRPr="00CE4606">
              <w:rPr>
                <w:b/>
                <w:sz w:val="17"/>
                <w:lang w:val="es-CO"/>
              </w:rPr>
              <w:t>Sin las visitas previas:</w:t>
            </w:r>
            <w:r w:rsidRPr="00CE4606">
              <w:rPr>
                <w:sz w:val="17"/>
                <w:lang w:val="es-CO"/>
              </w:rPr>
              <w:t xml:space="preserve"> DBCV negativo en toda la grilla de parámetros.</w:t>
            </w:r>
          </w:p>
          <w:p w14:paraId="54560491" w14:textId="77777777" w:rsidR="00A15C0C" w:rsidRPr="00CE4606" w:rsidRDefault="00000000">
            <w:pPr>
              <w:pStyle w:val="ListBullet"/>
              <w:rPr>
                <w:lang w:val="es-CO"/>
              </w:rPr>
            </w:pPr>
            <w:r w:rsidRPr="00CE4606">
              <w:rPr>
                <w:b/>
                <w:sz w:val="17"/>
                <w:lang w:val="es-CO"/>
              </w:rPr>
              <w:t xml:space="preserve">Prueba del </w:t>
            </w:r>
            <w:proofErr w:type="spellStart"/>
            <w:r w:rsidRPr="00CE4606">
              <w:rPr>
                <w:b/>
                <w:sz w:val="17"/>
                <w:lang w:val="es-CO"/>
              </w:rPr>
              <w:t>jitter</w:t>
            </w:r>
            <w:proofErr w:type="spellEnd"/>
            <w:r w:rsidRPr="00CE4606">
              <w:rPr>
                <w:b/>
                <w:sz w:val="17"/>
                <w:lang w:val="es-CO"/>
              </w:rPr>
              <w:t>:</w:t>
            </w:r>
            <w:r w:rsidRPr="00CE4606">
              <w:rPr>
                <w:sz w:val="17"/>
                <w:lang w:val="es-CO"/>
              </w:rPr>
              <w:t xml:space="preserve"> sin las visitas previas, DBSCAN encuentra 4 clusters que son “0, 1, 2 y 3 medicamentos” (pureza 100 %); con un ruido que no cambia ningún dato, se funden en uno.</w:t>
            </w:r>
            <w:proofErr w:type="spellStart"/>
            <w:proofErr w:type="gramStart"/>
            <w:r w:rsidRPr="00CE4606">
              <w:rPr>
                <w:sz w:val="17"/>
                <w:lang w:val="es-CO"/>
              </w:rPr>
            </w:r>
            <w:proofErr w:type="spellEnd"/>
            <w:proofErr w:type="gramEnd"/>
            <w:r w:rsidRPr="00CE4606">
              <w:rPr>
                <w:sz w:val="17"/>
                <w:lang w:val="es-CO"/>
              </w:rPr>
            </w:r>
          </w:p>
          <w:p w14:paraId="02FA01ED" w14:textId="77777777" w:rsidR="00A15C0C" w:rsidRPr="00CE4606" w:rsidRDefault="00000000">
            <w:pPr>
              <w:pStyle w:val="ListBullet"/>
              <w:rPr>
                <w:lang w:val="es-CO"/>
              </w:rPr>
            </w:pPr>
            <w:r w:rsidRPr="00CE4606">
              <w:rPr>
                <w:b/>
                <w:sz w:val="17"/>
                <w:lang w:val="es-CO"/>
              </w:rPr>
              <w:t>Ruido como alerta de riesgo:</w:t>
            </w:r>
            <w:r w:rsidRPr="00CE4606">
              <w:rPr>
                <w:sz w:val="17"/>
                <w:lang w:val="es-CO"/>
              </w:rPr>
              <w:t xml:space="preserve"> riesgo relativo 1.55; la regla “≥ 1 hospitalización previa” es mejor (1.89) y marca a menos pacientes.</w:t>
            </w:r>
          </w:p>
          <w:p w14:paraId="4C288D01" w14:textId="77777777" w:rsidR="00A15C0C" w:rsidRPr="00CE4606" w:rsidRDefault="00000000">
            <w:pPr>
              <w:spacing w:before="60" w:after="0"/>
              <w:rPr>
                <w:lang w:val="es-CO"/>
              </w:rPr>
            </w:pPr>
            <w:r w:rsidRPr="00CE4606">
              <w:rPr>
                <w:b/>
                <w:color w:val="52514E"/>
                <w:sz w:val="16"/>
                <w:lang w:val="es-CO"/>
              </w:rPr>
              <w:t xml:space="preserve">Lección: </w:t>
            </w:r>
            <w:r w:rsidRPr="00CE4606">
              <w:rPr>
                <w:color w:val="52514E"/>
                <w:sz w:val="16"/>
                <w:lang w:val="es-CO"/>
              </w:rPr>
              <w:t xml:space="preserve">esos clusters de medicamentos eran muy estables (Jaccard 0.85–0.94, Hennig 2007) y aun así eran un artefacto; los de la primera versión (hasta 0.99) son capas reales, pero triviales. </w:t>
            </w:r>
            <w:proofErr w:type="spellStart"/>
            <w:proofErr w:type="gramStart"/>
            <w:r w:rsidRPr="00CE4606">
              <w:rPr>
                <w:color w:val="52514E"/>
                <w:sz w:val="16"/>
                <w:lang w:val="es-CO"/>
              </w:rPr>
            </w:r>
            <w:proofErr w:type="spellEnd"/>
            <w:proofErr w:type="gramEnd"/>
            <w:r w:rsidRPr="00CE4606">
              <w:rPr>
                <w:color w:val="52514E"/>
                <w:sz w:val="16"/>
                <w:lang w:val="es-CO"/>
              </w:rPr>
            </w:r>
            <w:r w:rsidRPr="00CE4606">
              <w:rPr>
                <w:b/>
                <w:color w:val="52514E"/>
                <w:sz w:val="16"/>
                <w:lang w:val="es-CO"/>
              </w:rPr>
              <w:t>Estable no significa real</w:t>
            </w:r>
            <w:r w:rsidRPr="00CE4606">
              <w:rPr>
                <w:color w:val="52514E"/>
                <w:sz w:val="16"/>
                <w:lang w:val="es-CO"/>
              </w:rPr>
              <w:t>: hay que combinar estabilidad, una métrica adecuada y validación externa.</w:t>
            </w:r>
          </w:p>
        </w:tc>
        <w:tc>
          <w:tcPr>
            <w:tcW w:w="525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20" w:type="dxa"/>
              <w:bottom w:w="0" w:type="dxa"/>
              <w:right w:w="0" w:type="dxa"/>
            </w:tcMar>
          </w:tcPr>
          <w:p w14:paraId="4AB64A23" w14:textId="77777777" w:rsidR="00A15C0C" w:rsidRPr="00CE4606" w:rsidRDefault="00000000">
            <w:pPr>
              <w:spacing w:after="40"/>
              <w:rPr>
                <w:lang w:val="es-CO"/>
              </w:rPr>
            </w:pPr>
            <w:r w:rsidRPr="00CE4606">
              <w:rPr>
                <w:b/>
                <w:color w:val="0F6E4B"/>
                <w:sz w:val="20"/>
                <w:lang w:val="es-CO"/>
              </w:rPr>
              <w:t>GMM: 4 perfiles estables y descriptivos</w:t>
            </w:r>
          </w:p>
          <w:p w14:paraId="4E470B56" w14:textId="77777777" w:rsidR="00A15C0C" w:rsidRDefault="00000000">
            <w:r w:rsidRPr="00CE4606">
              <w:rPr>
                <w:sz w:val="17"/>
                <w:lang w:val="es-CO"/>
              </w:rPr>
              <w:t xml:space="preserve">La mezcla gaussiana necesita variables continuas, así que rompimos la </w:t>
            </w:r>
            <w:proofErr w:type="spellStart"/>
            <w:r w:rsidRPr="00CE4606">
              <w:rPr>
                <w:sz w:val="17"/>
                <w:lang w:val="es-CO"/>
              </w:rPr>
              <w:t>discretez</w:t>
            </w:r>
            <w:proofErr w:type="spellEnd"/>
            <w:r w:rsidRPr="00CE4606">
              <w:rPr>
                <w:sz w:val="17"/>
                <w:lang w:val="es-CO"/>
              </w:rPr>
              <w:t xml:space="preserve"> con </w:t>
            </w:r>
            <w:proofErr w:type="spellStart"/>
            <w:r w:rsidRPr="00CE4606">
              <w:rPr>
                <w:sz w:val="17"/>
                <w:lang w:val="es-CO"/>
              </w:rPr>
              <w:t>jitter</w:t>
            </w:r>
            <w:proofErr w:type="spellEnd"/>
            <w:r w:rsidRPr="00CE4606">
              <w:rPr>
                <w:sz w:val="17"/>
                <w:lang w:val="es-CO"/>
              </w:rPr>
              <w:t xml:space="preserve">. Medimos que ese ruido cambiaba parte de los grupos (ARI 0.72) y lo corregimos con un </w:t>
            </w:r>
            <w:r w:rsidRPr="00CE4606">
              <w:rPr>
                <w:b/>
                <w:sz w:val="17"/>
                <w:lang w:val="es-CO"/>
              </w:rPr>
              <w:t>GMM de consenso</w:t>
            </w:r>
            <w:r w:rsidRPr="00CE4606">
              <w:rPr>
                <w:sz w:val="17"/>
                <w:lang w:val="es-CO"/>
              </w:rPr>
              <w:t xml:space="preserve">: 10 ajustes con distinto </w:t>
            </w:r>
            <w:proofErr w:type="spellStart"/>
            <w:r w:rsidRPr="00CE4606">
              <w:rPr>
                <w:sz w:val="17"/>
                <w:lang w:val="es-CO"/>
              </w:rPr>
              <w:t>jitter</w:t>
            </w:r>
            <w:proofErr w:type="spellEnd"/>
            <w:r w:rsidRPr="00CE4606">
              <w:rPr>
                <w:sz w:val="17"/>
                <w:lang w:val="es-CO"/>
              </w:rPr>
              <w:t xml:space="preserve">, alineados y promediados. </w:t>
            </w:r>
            <w:proofErr w:type="spellStart"/>
            <w:r>
              <w:rPr>
                <w:sz w:val="17"/>
              </w:rPr>
              <w:t>Así</w:t>
            </w:r>
            <w:proofErr w:type="spellEnd"/>
            <w:r>
              <w:rPr>
                <w:sz w:val="17"/>
              </w:rPr>
              <w:t xml:space="preserve"> la </w:t>
            </w:r>
            <w:proofErr w:type="spellStart"/>
            <w:r>
              <w:rPr>
                <w:sz w:val="17"/>
              </w:rPr>
              <w:t>estabilidad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sube</w:t>
            </w:r>
            <w:proofErr w:type="spellEnd"/>
            <w:r>
              <w:rPr>
                <w:sz w:val="17"/>
              </w:rPr>
              <w:t xml:space="preserve"> a </w:t>
            </w:r>
            <w:r>
              <w:rPr>
                <w:b/>
                <w:sz w:val="17"/>
              </w:rPr>
              <w:t>ARI 0.88</w:t>
            </w:r>
            <w:r>
              <w:rPr>
                <w:sz w:val="17"/>
              </w:rPr>
              <w:t>.</w:t>
            </w:r>
          </w:p>
          <w:p w14:paraId="168ACE4B" w14:textId="77777777" w:rsidR="00A15C0C" w:rsidRDefault="00000000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78C89300" wp14:editId="41BC713F">
                  <wp:extent cx="2926080" cy="1367291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_gmm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13672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18C3DF" w14:textId="77777777" w:rsidR="00A15C0C" w:rsidRPr="00CE4606" w:rsidRDefault="00000000">
            <w:pPr>
              <w:spacing w:after="40"/>
              <w:rPr>
                <w:lang w:val="es-CO"/>
              </w:rPr>
            </w:pPr>
            <w:r w:rsidRPr="00CE4606">
              <w:rPr>
                <w:color w:val="52514E"/>
                <w:sz w:val="15"/>
                <w:lang w:val="es-CO"/>
              </w:rPr>
              <w:t>Reingreso por perfil (IC 95 %). La línea punteada marca el promedio (9.0 %).</w:t>
            </w:r>
          </w:p>
          <w:p w14:paraId="5F1F3DCB" w14:textId="52C61261" w:rsidR="00A15C0C" w:rsidRPr="00CE4606" w:rsidRDefault="00000000">
            <w:pPr>
              <w:spacing w:after="0"/>
              <w:rPr>
                <w:lang w:val="es-CO"/>
              </w:rPr>
            </w:pPr>
            <w:r w:rsidRPr="00CE4606">
              <w:rPr>
                <w:color w:val="52514E"/>
                <w:sz w:val="16"/>
                <w:lang w:val="es-CO"/>
              </w:rPr>
              <w:t xml:space="preserve">Los perfiles son estables y difieren de forma significativa. Pero se asocian con el reingreso igual que dividir por días de hospitalización (V de </w:t>
            </w:r>
            <w:proofErr w:type="spellStart"/>
            <w:r w:rsidRPr="00CE4606">
              <w:rPr>
                <w:color w:val="52514E"/>
                <w:sz w:val="16"/>
                <w:lang w:val="es-CO"/>
              </w:rPr>
              <w:t>Cramér</w:t>
            </w:r>
            <w:proofErr w:type="spellEnd"/>
            <w:r w:rsidRPr="00CE4606">
              <w:rPr>
                <w:color w:val="52514E"/>
                <w:sz w:val="16"/>
                <w:lang w:val="es-CO"/>
              </w:rPr>
              <w:t xml:space="preserve"> 0.053 vs 0.055), y ningún criterio (BIC, ICL) señala un número natural de grupos: </w:t>
            </w:r>
            <w:r w:rsidRPr="00CE4606">
              <w:rPr>
                <w:b/>
                <w:color w:val="52514E"/>
                <w:sz w:val="16"/>
                <w:lang w:val="es-CO"/>
              </w:rPr>
              <w:t>describen un continuo</w:t>
            </w:r>
            <w:r w:rsidRPr="00CE4606">
              <w:rPr>
                <w:color w:val="52514E"/>
                <w:sz w:val="16"/>
                <w:lang w:val="es-CO"/>
              </w:rPr>
              <w:t>.</w:t>
            </w:r>
          </w:p>
        </w:tc>
      </w:tr>
    </w:tbl>
    <w:p w14:paraId="2910BD83" w14:textId="77777777" w:rsidR="00A15C0C" w:rsidRPr="00CE4606" w:rsidRDefault="00A15C0C">
      <w:pPr>
        <w:spacing w:after="20"/>
        <w:rPr>
          <w:lang w:val="es-CO"/>
        </w:rPr>
      </w:pPr>
    </w:p>
    <w:p w14:paraId="024302B7" w14:textId="77777777" w:rsidR="00A15C0C" w:rsidRDefault="00000000">
      <w:pPr>
        <w:pBdr>
          <w:bottom w:val="single" w:sz="10" w:space="1" w:color="1D1D1B"/>
        </w:pBdr>
        <w:spacing w:before="80" w:after="80"/>
      </w:pPr>
      <w:r>
        <w:rPr>
          <w:b/>
          <w:sz w:val="26"/>
        </w:rPr>
        <w:t>4. Conclusiones</w:t>
      </w:r>
    </w:p>
    <w:p w14:paraId="5FCBDBD4" w14:textId="77777777" w:rsidR="00A15C0C" w:rsidRPr="00CE4606" w:rsidRDefault="00000000">
      <w:pPr>
        <w:pStyle w:val="ListBullet"/>
        <w:rPr>
          <w:lang w:val="es-CO"/>
        </w:rPr>
      </w:pPr>
      <w:r w:rsidRPr="00CE4606">
        <w:rPr>
          <w:b/>
          <w:lang w:val="es-CO"/>
        </w:rPr>
        <w:t>El modelo sirve para priorizar.</w:t>
      </w:r>
      <w:r w:rsidRPr="00CE4606">
        <w:rPr>
          <w:lang w:val="es-CO"/>
        </w:rPr>
        <w:t xml:space="preserve"> Con variables administrativas de la hospitalización, el 10 % de mayor riesgo reingresa al doble del promedio (18.9 % vs 9.0 %), y el resultado se sostiene en pacientes nunca vistos.</w:t>
      </w:r>
    </w:p>
    <w:p w14:paraId="2ABD3A72" w14:textId="77777777" w:rsidR="00A15C0C" w:rsidRPr="00CE4606" w:rsidRDefault="00000000">
      <w:pPr>
        <w:pStyle w:val="ListBullet"/>
        <w:rPr>
          <w:lang w:val="es-CO"/>
        </w:rPr>
      </w:pPr>
      <w:r w:rsidRPr="00CE4606">
        <w:rPr>
          <w:b/>
          <w:lang w:val="es-CO"/>
        </w:rPr>
        <w:t>El rendimiento es el que permiten los datos.</w:t>
      </w:r>
      <w:r w:rsidRPr="00CE4606">
        <w:rPr>
          <w:lang w:val="es-CO"/>
        </w:rPr>
        <w:t xml:space="preserve"> AUC 0.64 (IC 0.62–0.66), igual que la literatura que evalúa sin fuga. El techo lo ponen las variables disponibles, no el algoritmo.</w:t>
      </w:r>
    </w:p>
    <w:p w14:paraId="3877FD82" w14:textId="77777777" w:rsidR="00A15C0C" w:rsidRPr="00CE4606" w:rsidRDefault="00000000">
      <w:pPr>
        <w:pStyle w:val="ListBullet"/>
        <w:rPr>
          <w:lang w:val="es-CO"/>
        </w:rPr>
      </w:pPr>
      <w:r w:rsidRPr="00CE4606">
        <w:rPr>
          <w:b/>
          <w:lang w:val="es-CO"/>
        </w:rPr>
        <w:t>La decisión importa tanto como el modelo.</w:t>
      </w:r>
      <w:r w:rsidRPr="00CE4606">
        <w:rPr>
          <w:lang w:val="es-CO"/>
        </w:rPr>
        <w:t xml:space="preserve"> Un seguimiento en dos niveles cubre la mitad de los reingresos contactando al 31 % de los pacientes, y con supuestos razonables duplica el ahorro de la mejor opción sin modelo.</w:t>
      </w:r>
    </w:p>
    <w:p w14:paraId="6E4532C0" w14:textId="77777777" w:rsidR="00A15C0C" w:rsidRPr="00CE4606" w:rsidRDefault="00000000">
      <w:pPr>
        <w:pStyle w:val="ListBullet"/>
        <w:rPr>
          <w:lang w:val="es-CO"/>
        </w:rPr>
      </w:pPr>
      <w:r w:rsidRPr="00CE4606">
        <w:rPr>
          <w:b/>
          <w:lang w:val="es-CO"/>
        </w:rPr>
        <w:t xml:space="preserve">El </w:t>
      </w:r>
      <w:proofErr w:type="spellStart"/>
      <w:r w:rsidRPr="00CE4606">
        <w:rPr>
          <w:b/>
          <w:lang w:val="es-CO"/>
        </w:rPr>
        <w:t>clustering</w:t>
      </w:r>
      <w:proofErr w:type="spellEnd"/>
      <w:r w:rsidRPr="00CE4606">
        <w:rPr>
          <w:b/>
          <w:lang w:val="es-CO"/>
        </w:rPr>
        <w:t xml:space="preserve"> confirma que no hay “tipos” naturales de pacientes:</w:t>
      </w:r>
      <w:r w:rsidRPr="00CE4606">
        <w:rPr>
          <w:lang w:val="es-CO"/>
        </w:rPr>
        <w:t xml:space="preserve"> sirve para describir hospitalizaciones, no para estimar el riesgo individual.</w:t>
      </w:r>
    </w:p>
    <w:p w14:paraId="6FB8D760" w14:textId="77777777" w:rsidR="00A15C0C" w:rsidRPr="00CE4606" w:rsidRDefault="00000000">
      <w:pPr>
        <w:pStyle w:val="ListBullet"/>
        <w:rPr>
          <w:lang w:val="es-CO"/>
        </w:rPr>
      </w:pPr>
      <w:r w:rsidRPr="00CE4606">
        <w:rPr>
          <w:b/>
          <w:lang w:val="es-CO"/>
        </w:rPr>
        <w:t>Rigor verificable:</w:t>
      </w:r>
      <w:r w:rsidRPr="00CE4606">
        <w:rPr>
          <w:lang w:val="es-CO"/>
        </w:rPr>
        <w:t xml:space="preserve"> sin fuga de información, umbral elegido fuera de la prueba, intervalos de confianza, calibración y comparación con modelos de referencia.</w:t>
      </w:r>
    </w:p>
    <w:p>
      <w:pPr>
        <w:spacing w:before="160" w:after="80"/>
        <w:pBdr>
          <w:bottom w:val="single" w:sz="10" w:color="1D1D1B" w:space="1"/>
        </w:pBdr>
      </w:pPr>
      <w:r>
        <w:rPr>
          <w:b/>
          <w:i w:val="0"/>
          <w:sz w:val="26"/>
        </w:rPr>
        <w:t>Hoja de ruta: del modelo al hospital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504"/>
        <w:gridCol w:w="3504"/>
        <w:gridCol w:w="3504"/>
      </w:tblGrid>
      <w:tr>
        <w:tc>
          <w:tcPr>
            <w:tcW w:type="dxa" w:w="2102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il"/>
              <w:left w:val="nil"/>
              <w:bottom w:val="single" w:sz="8" w:color="1D1D1B" w:space="0"/>
              <w:right w:val="nil"/>
            </w:tcBorders>
          </w:tcPr>
          <w:p>
            <w:pPr>
              <w:spacing w:after="0"/>
            </w:pPr>
            <w:r>
              <w:rPr>
                <w:b/>
                <w:i w:val="0"/>
                <w:color w:val="52514E"/>
                <w:sz w:val="15"/>
              </w:rPr>
              <w:t>Fase</w:t>
            </w:r>
          </w:p>
        </w:tc>
        <w:tc>
          <w:tcPr>
            <w:tcW w:type="dxa" w:w="5256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il"/>
              <w:left w:val="nil"/>
              <w:bottom w:val="single" w:sz="8" w:color="1D1D1B" w:space="0"/>
              <w:right w:val="nil"/>
            </w:tcBorders>
          </w:tcPr>
          <w:p>
            <w:pPr>
              <w:spacing w:after="0"/>
            </w:pPr>
            <w:r>
              <w:rPr>
                <w:b/>
                <w:i w:val="0"/>
                <w:color w:val="52514E"/>
                <w:sz w:val="15"/>
              </w:rPr>
              <w:t>Qué se hace</w:t>
            </w:r>
          </w:p>
        </w:tc>
        <w:tc>
          <w:tcPr>
            <w:tcW w:type="dxa" w:w="3154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il"/>
              <w:left w:val="nil"/>
              <w:bottom w:val="single" w:sz="8" w:color="1D1D1B" w:space="0"/>
              <w:right w:val="nil"/>
            </w:tcBorders>
          </w:tcPr>
          <w:p>
            <w:pPr>
              <w:spacing w:after="0"/>
            </w:pPr>
            <w:r>
              <w:rPr>
                <w:b/>
                <w:i w:val="0"/>
                <w:color w:val="52514E"/>
                <w:sz w:val="15"/>
              </w:rPr>
              <w:t>Qué obtenemos</w:t>
            </w:r>
          </w:p>
        </w:tc>
      </w:tr>
      <w:tr>
        <w:tc>
          <w:tcPr>
            <w:tcW w:type="dxa" w:w="2102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il"/>
              <w:left w:val="nil"/>
              <w:bottom w:val="single" w:sz="4" w:color="E2E1DC" w:space="0"/>
              <w:right w:val="nil"/>
            </w:tcBorders>
          </w:tcPr>
          <w:p>
            <w:pPr>
              <w:spacing w:after="0"/>
            </w:pPr>
            <w:r>
              <w:rPr>
                <w:b/>
                <w:i w:val="0"/>
                <w:sz w:val="17"/>
              </w:rPr>
              <w:t>1 · Piloto</w:t>
            </w:r>
          </w:p>
        </w:tc>
        <w:tc>
          <w:tcPr>
            <w:tcW w:type="dxa" w:w="5256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il"/>
              <w:left w:val="nil"/>
              <w:bottom w:val="single" w:sz="4" w:color="E2E1DC" w:space="0"/>
              <w:right w:val="nil"/>
            </w:tcBorders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Aplicar el modelo al alta en un servicio: cita presencial al 10 % de mayor riesgo, teleconsulta al 20 % siguiente, y un grupo de comparación con alta habitual.</w:t>
            </w:r>
          </w:p>
        </w:tc>
        <w:tc>
          <w:tcPr>
            <w:tcW w:type="dxa" w:w="3154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il"/>
              <w:left w:val="nil"/>
              <w:bottom w:val="single" w:sz="4" w:color="E2E1DC" w:space="0"/>
              <w:right w:val="nil"/>
            </w:tcBorders>
          </w:tcPr>
          <w:p>
            <w:pPr>
              <w:spacing w:after="0"/>
            </w:pPr>
            <w:r>
              <w:rPr>
                <w:b/>
                <w:i w:val="0"/>
                <w:sz w:val="17"/>
              </w:rPr>
              <w:t>La efectividad real</w:t>
            </w:r>
            <w:r>
              <w:rPr>
                <w:b w:val="0"/>
                <w:i w:val="0"/>
                <w:sz w:val="17"/>
              </w:rPr>
              <w:t xml:space="preserve"> de cada intervención, el supuesto que más pesa en el ahorro.</w:t>
            </w:r>
          </w:p>
        </w:tc>
      </w:tr>
      <w:tr>
        <w:tc>
          <w:tcPr>
            <w:tcW w:type="dxa" w:w="2102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il"/>
              <w:left w:val="nil"/>
              <w:bottom w:val="single" w:sz="4" w:color="E2E1DC" w:space="0"/>
              <w:right w:val="nil"/>
            </w:tcBorders>
          </w:tcPr>
          <w:p>
            <w:pPr>
              <w:spacing w:after="0"/>
            </w:pPr>
            <w:r>
              <w:rPr>
                <w:b/>
                <w:i w:val="0"/>
                <w:sz w:val="17"/>
              </w:rPr>
              <w:t>2 · Ajuste local</w:t>
            </w:r>
          </w:p>
        </w:tc>
        <w:tc>
          <w:tcPr>
            <w:tcW w:type="dxa" w:w="5256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il"/>
              <w:left w:val="nil"/>
              <w:bottom w:val="single" w:sz="4" w:color="E2E1DC" w:space="0"/>
              <w:right w:val="nil"/>
            </w:tcBorders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Recalibrar el modelo con los pacientes del hospital y reemplazar los costos supuestos por costos reales; fijar los cortes según la capacidad de citas.</w:t>
            </w:r>
          </w:p>
        </w:tc>
        <w:tc>
          <w:tcPr>
            <w:tcW w:type="dxa" w:w="3154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il"/>
              <w:left w:val="nil"/>
              <w:bottom w:val="single" w:sz="4" w:color="E2E1DC" w:space="0"/>
              <w:right w:val="nil"/>
            </w:tcBorders>
          </w:tcPr>
          <w:p>
            <w:pPr>
              <w:spacing w:after="0"/>
            </w:pPr>
            <w:r>
              <w:rPr>
                <w:b/>
                <w:i w:val="0"/>
                <w:sz w:val="17"/>
              </w:rPr>
              <w:t>Cortes y ahorro</w:t>
            </w:r>
            <w:r>
              <w:rPr>
                <w:b w:val="0"/>
                <w:i w:val="0"/>
                <w:sz w:val="17"/>
              </w:rPr>
              <w:t xml:space="preserve"> calculados con datos propios, no con supuestos.</w:t>
            </w:r>
          </w:p>
        </w:tc>
      </w:tr>
      <w:tr>
        <w:tc>
          <w:tcPr>
            <w:tcW w:type="dxa" w:w="2102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il"/>
              <w:left w:val="nil"/>
              <w:bottom w:val="single" w:sz="4" w:color="E2E1DC" w:space="0"/>
              <w:right w:val="nil"/>
            </w:tcBorders>
          </w:tcPr>
          <w:p>
            <w:pPr>
              <w:spacing w:after="0"/>
            </w:pPr>
            <w:r>
              <w:rPr>
                <w:b/>
                <w:i w:val="0"/>
                <w:sz w:val="17"/>
              </w:rPr>
              <w:t>3 · Escalamiento</w:t>
            </w:r>
          </w:p>
        </w:tc>
        <w:tc>
          <w:tcPr>
            <w:tcW w:type="dxa" w:w="5256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il"/>
              <w:left w:val="nil"/>
              <w:bottom w:val="single" w:sz="4" w:color="E2E1DC" w:space="0"/>
              <w:right w:val="nil"/>
            </w:tcBorders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Integrar el cálculo del riesgo al sistema de alta y monitorear calibración, rendimiento por subgrupos (edad, sexo, raza) y cambios en el tiempo.</w:t>
            </w:r>
          </w:p>
        </w:tc>
        <w:tc>
          <w:tcPr>
            <w:tcW w:type="dxa" w:w="3154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il"/>
              <w:left w:val="nil"/>
              <w:bottom w:val="single" w:sz="4" w:color="E2E1DC" w:space="0"/>
              <w:right w:val="nil"/>
            </w:tcBorders>
          </w:tcPr>
          <w:p>
            <w:pPr>
              <w:spacing w:after="0"/>
            </w:pPr>
            <w:r>
              <w:rPr>
                <w:b/>
                <w:i w:val="0"/>
                <w:sz w:val="17"/>
              </w:rPr>
              <w:t>Un programa sostenido</w:t>
            </w:r>
            <w:r>
              <w:rPr>
                <w:b w:val="0"/>
                <w:i w:val="0"/>
                <w:sz w:val="17"/>
              </w:rPr>
              <w:t xml:space="preserve"> y equitativo, con el riesgo recalculado en cada alta.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512"/>
      </w:tblGrid>
      <w:tr>
        <w:tc>
          <w:tcPr>
            <w:tcW w:type="dxa" w:w="10512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DF1EB"/>
            <w:tcMar>
              <w:top w:w="90" w:type="dxa"/>
              <w:bottom w:w="90" w:type="dxa"/>
              <w:left w:w="150" w:type="dxa"/>
              <w:right w:w="120" w:type="dxa"/>
            </w:tcMar>
            <w:tcBorders>
              <w:top w:val="nil"/>
              <w:left w:val="single" w:sz="28" w:color="EB6834" w:space="0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b/>
                <w:i w:val="0"/>
                <w:sz w:val="20"/>
              </w:rPr>
              <w:t>Decisión que proponemos: aprobar un piloto de seguimiento en dos niveles.</w:t>
            </w:r>
          </w:p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Con los supuestos actuales cuesta </w:t>
            </w:r>
            <w:r>
              <w:rPr>
                <w:b/>
                <w:i w:val="0"/>
                <w:sz w:val="18"/>
              </w:rPr>
              <w:t>≈ US$37 por paciente dado de alta</w:t>
            </w:r>
            <w:r>
              <w:rPr>
                <w:b w:val="0"/>
                <w:i w:val="0"/>
                <w:sz w:val="18"/>
              </w:rPr>
              <w:t xml:space="preserve"> y pone en seguimiento a casi la mitad de los pacientes que iban a reingresar. Además, es la forma de convertir el principal supuesto del análisis, la efectividad de las intervenciones, en un dato medido.</w:t>
            </w:r>
          </w:p>
        </w:tc>
      </w:tr>
    </w:tbl>
    <w:p>
      <w:pPr>
        <w:spacing w:before="120" w:after="0"/>
      </w:pPr>
      <w:r>
        <w:rPr>
          <w:b/>
          <w:i w:val="0"/>
          <w:color w:val="52514E"/>
          <w:sz w:val="16"/>
        </w:rPr>
        <w:t xml:space="preserve">Limitaciones: </w:t>
      </w:r>
      <w:r>
        <w:rPr>
          <w:b w:val="0"/>
          <w:i w:val="0"/>
          <w:color w:val="52514E"/>
          <w:sz w:val="16"/>
        </w:rPr>
        <w:t>datos administrativos de 1999–2008 de una sola red (solo se ven los reingresos dentro de esa red); sin laboratorio detallado, variables sociales ni validación externa; costos y efectividad del análisis económico son supuestos, no datos; algunos diagnósticos se codifican al cierre del alta y habría que confirmar que estén disponibles al decidir el seguimiento.</w:t>
      </w:r>
    </w:p>
    <w:p w14:paraId="6AF73D14" w14:textId="13BBE2D1" w:rsidR="00A15C0C" w:rsidRDefault="00A15C0C">
      <w:pPr>
        <w:spacing w:before="100" w:after="0"/>
      </w:pPr>
    </w:p>
    <w:sectPr w:rsidR="00A15C0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5533463">
    <w:abstractNumId w:val="8"/>
  </w:num>
  <w:num w:numId="2" w16cid:durableId="1747534140">
    <w:abstractNumId w:val="6"/>
  </w:num>
  <w:num w:numId="3" w16cid:durableId="88627504">
    <w:abstractNumId w:val="5"/>
  </w:num>
  <w:num w:numId="4" w16cid:durableId="566569718">
    <w:abstractNumId w:val="4"/>
  </w:num>
  <w:num w:numId="5" w16cid:durableId="1437677039">
    <w:abstractNumId w:val="7"/>
  </w:num>
  <w:num w:numId="6" w16cid:durableId="1668093074">
    <w:abstractNumId w:val="3"/>
  </w:num>
  <w:num w:numId="7" w16cid:durableId="393313725">
    <w:abstractNumId w:val="2"/>
  </w:num>
  <w:num w:numId="8" w16cid:durableId="550924198">
    <w:abstractNumId w:val="1"/>
  </w:num>
  <w:num w:numId="9" w16cid:durableId="1717701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958C9"/>
    <w:rsid w:val="006D7C99"/>
    <w:rsid w:val="009C72C2"/>
    <w:rsid w:val="00A15C0C"/>
    <w:rsid w:val="00A80867"/>
    <w:rsid w:val="00AA1D8D"/>
    <w:rsid w:val="00B47730"/>
    <w:rsid w:val="00CB0664"/>
    <w:rsid w:val="00CE460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0C620A"/>
  <w14:defaultImageDpi w14:val="300"/>
  <w15:docId w15:val="{6E1821B6-6C10-40D4-BBB9-4778FBA46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Calibri" w:eastAsia="Calibri" w:hAnsi="Calibri"/>
      <w:color w:val="1D1D1B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30" w:line="252" w:lineRule="auto"/>
      <w:contextualSpacing/>
    </w:pPr>
    <w:rPr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1641</Words>
  <Characters>9357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Informe ejecutivo: reingreso hospitalario en pacientes diabéticos</vt:lpstr>
    </vt:vector>
  </TitlesOfParts>
  <Manager/>
  <Company/>
  <LinksUpToDate>false</LinksUpToDate>
  <CharactersWithSpaces>10977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ejecutivo: reingreso hospitalario en pacientes diabéticos</dc:title>
  <dc:subject/>
  <dc:creator>python-docx</dc:creator>
  <cp:keywords/>
  <dc:description>generated by python-docx</dc:description>
  <cp:lastModifiedBy>camilo Silva</cp:lastModifiedBy>
  <cp:revision>4</cp:revision>
  <dcterms:created xsi:type="dcterms:W3CDTF">2013-12-23T23:15:00Z</dcterms:created>
  <dcterms:modified xsi:type="dcterms:W3CDTF">2026-09-27T13:51:00Z</dcterms:modified>
  <cp:category/>
</cp:coreProperties>
</file>