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4"/>
        <w:jc w:val="center"/>
      </w:pPr>
      <w:r>
        <w:rPr>
          <w:b/>
          <w:color w:val="174A35"/>
          <w:sz w:val="60"/>
        </w:rPr>
        <w:t>AgroStock</w:t>
      </w:r>
    </w:p>
    <w:p>
      <w:pPr>
        <w:jc w:val="center"/>
      </w:pPr>
      <w:r>
        <w:rPr>
          <w:sz w:val="34"/>
        </w:rPr>
        <w:t>Entrega 2</w:t>
        <w:br/>
        <w:t>Ingeniería de Software</w:t>
      </w:r>
    </w:p>
    <w:p/>
    <w:p>
      <w:pPr>
        <w:jc w:val="center"/>
      </w:pPr>
      <w:r>
        <w:rPr>
          <w:b/>
        </w:rPr>
        <w:t>Equipo</w:t>
        <w:br/>
      </w:r>
      <w:r>
        <w:t>Juan Felipe Cardona</w:t>
        <w:br/>
        <w:t>Camilo González</w:t>
        <w:br/>
        <w:t>Daniel Villa</w:t>
      </w:r>
    </w:p>
    <w:p>
      <w:pPr>
        <w:jc w:val="center"/>
      </w:pPr>
      <w:r>
        <w:t>2026-10-12</w:t>
      </w:r>
    </w:p>
    <w:p>
      <w:pPr>
        <w:jc w:val="center"/>
      </w:pPr>
      <w:hyperlink r:id="rId11">
        <w:r>
          <w:rPr>
            <w:color w:val="176B55"/>
            <w:u w:val="single"/>
          </w:rPr>
          <w:t>Repositorio: Camilogm1/Agrostock</w:t>
        </w:r>
      </w:hyperlink>
    </w:p>
    <w:p>
      <w:r>
        <w:br w:type="page"/>
      </w:r>
    </w:p>
    <w:p>
      <w:pPr>
        <w:pStyle w:val="Heading1"/>
      </w:pPr>
      <w:r>
        <w:t>Índice</w:t>
      </w:r>
    </w:p>
    <w:p>
      <w:r>
        <w:t>1. Modelos UML y C4</w:t>
      </w:r>
    </w:p>
    <w:p>
      <w:r>
        <w:t>2. Decisiones de arquitectura (ADR)</w:t>
      </w:r>
    </w:p>
    <w:p>
      <w:r>
        <w:t>3. Matriz de decisión del stack</w:t>
      </w:r>
    </w:p>
    <w:p>
      <w:r>
        <w:t>4. Plan de pruebas</w:t>
      </w:r>
    </w:p>
    <w:p>
      <w:r>
        <w:t>5. Prototipo funcionando</w:t>
      </w:r>
    </w:p>
    <w:p>
      <w:r>
        <w:t>6. Registro de deuda técnica</w:t>
      </w:r>
    </w:p>
    <w:p>
      <w:r>
        <w:t>7. Matriz de riesgos actualizada</w:t>
      </w:r>
    </w:p>
    <w:p>
      <w:r>
        <w:t>8. Tabla de trazabilidad</w:t>
      </w:r>
    </w:p>
    <w:p>
      <w:r>
        <w:t>9. Nota de uso de IA</w:t>
      </w:r>
    </w:p>
    <w:p>
      <w:r>
        <w:t>10. Documento consolidado y fuentes</w:t>
      </w:r>
    </w:p>
    <w:p>
      <w:r>
        <w:br w:type="page"/>
      </w:r>
    </w:p>
    <w:p>
      <w:pPr>
        <w:pStyle w:val="Heading1"/>
      </w:pPr>
      <w:r>
        <w:t>1. Modelos UML y C4</w:t>
      </w:r>
    </w:p>
    <w:p>
      <w:pPr>
        <w:pStyle w:val="Heading2"/>
      </w:pPr>
      <w:r>
        <w:t>Modelo 2. Diagrama de clases</w:t>
      </w:r>
    </w:p>
    <w:p>
      <w:hyperlink r:id="rId12">
        <w:r>
          <w:rPr>
            <w:color w:val="176B55"/>
            <w:u w:val="single"/>
          </w:rPr>
          <w:t>Abrir Modelo 2 en Google Drive</w:t>
        </w:r>
      </w:hyperlink>
    </w:p>
    <w:p>
      <w:r>
        <w:t>Para visualizar y editar el diagrama con facilidad, abre el enlace con draw.io (diagrams.net).</w:t>
      </w:r>
    </w:p>
    <w:p>
      <w:r>
        <w:t>Las imágenes de los demás modelos son vistas para consulta; sus fuentes draw.io se conservan en docs/modelos/.</w:t>
      </w:r>
    </w:p>
    <w:p>
      <w:pPr>
        <w:pStyle w:val="Heading2"/>
      </w:pPr>
      <w:r>
        <w:t>Modelo 1. Diagrama de caso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4161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rostock-Caso de uso.draw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16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Fuente editable: docs/modelos/Agrostock-Caso de uso.drawio.svg</w:t>
      </w:r>
    </w:p>
    <w:p>
      <w:r>
        <w:br w:type="page"/>
      </w:r>
    </w:p>
    <w:p>
      <w:pPr>
        <w:pStyle w:val="Heading2"/>
      </w:pPr>
      <w:r>
        <w:t>Modelo 3. Diagrama de secuencia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416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rostock-Diagrama de secuencia.draw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16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Fuente editable: docs/modelos/Agrostock-Diagrama de secuencia.drawio.svg</w:t>
      </w:r>
    </w:p>
    <w:p>
      <w:r>
        <w:br w:type="page"/>
      </w:r>
    </w:p>
    <w:p>
      <w:pPr>
        <w:pStyle w:val="Heading2"/>
      </w:pPr>
      <w:r>
        <w:t>Modelo 4. Componentes y despliegue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4161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rostock-Diagrama de componentes y despliegue.draw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16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Fuente editable: docs/modelos/Agrostock-Diagrama de componentes y despliegue.drawio.svg</w:t>
      </w:r>
    </w:p>
    <w:p>
      <w:r>
        <w:br w:type="page"/>
      </w:r>
    </w:p>
    <w:p>
      <w:pPr>
        <w:pStyle w:val="Heading2"/>
      </w:pPr>
      <w:r>
        <w:t>Modelo 5. Diagrama C4: nivel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4161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rostock-C4 Nivel 1.draw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16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Fuente editable: docs/modelos/Agrostock-C4 Nivel 1.drawio.svg</w:t>
      </w:r>
    </w:p>
    <w:p>
      <w:r>
        <w:br w:type="page"/>
      </w:r>
    </w:p>
    <w:p>
      <w:pPr>
        <w:pStyle w:val="Heading2"/>
      </w:pPr>
      <w:r>
        <w:t>Modelo 6. Diagrama C4: nivel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4161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rostock- C4 Nivel 2.drawi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16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Fuente editable: docs/modelos/Agrostock- C4 Nivel 2.drawio.svg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2. Decisiones de arquitectura (ADR)</w:t>
      </w:r>
    </w:p>
    <w:p>
      <w:pPr>
        <w:pStyle w:val="ListBullet"/>
      </w:pPr>
      <w:r>
        <w:t>Estado: Aceptada para el prototipo actual</w:t>
      </w:r>
    </w:p>
    <w:p>
      <w:pPr>
        <w:pStyle w:val="ListBullet"/>
      </w:pPr>
      <w:r>
        <w:t>Fecha: 2026-10-12</w:t>
      </w:r>
    </w:p>
    <w:p>
      <w:pPr>
        <w:pStyle w:val="Heading2"/>
      </w:pPr>
      <w:r>
        <w:t>Contexto</w:t>
      </w:r>
    </w:p>
    <w:p>
      <w:r>
        <w:t>El repositorio contiene una API para el taller de CI, no la aplicación completa descrita por los modelos. La solución apunta a .NET 8, usa ASP.NET Core, EF Core InMemory y xUnit. El README indica que esta versión es autocontenida y que no instala un motor de base de datos. Los diagramas y el script SQL, en cambio, describen React, Laravel/Eloquent y MariaDB.</w:t>
      </w:r>
    </w:p>
    <w:p>
      <w:pPr>
        <w:pStyle w:val="Heading2"/>
      </w:pPr>
      <w:r>
        <w:t>Decisión</w:t>
      </w:r>
    </w:p>
    <w:p>
      <w:r>
        <w:t>Se conserva el stack que ya compila en CI para ampliar el prototipo evaluable: ASP.NET Core sobre .NET 8, EF Core InMemory y xUnit. Esta decisión limita el alcance al prototipo del repositorio y no declara que sea el stack de producción de AgroStock.</w:t>
      </w:r>
    </w:p>
    <w:p>
      <w:pPr>
        <w:pStyle w:val="Heading2"/>
      </w:pPr>
      <w:r>
        <w:t>Alternativas descartadas</w:t>
      </w:r>
    </w:p>
    <w:p>
      <w:pPr>
        <w:pStyle w:val="ListBullet"/>
      </w:pPr>
      <w:r>
        <w:t>Migrar ahora a React, Laravel/Eloquent y MariaDB: coincide con los diagramas, pero reemplaza la implementación existente y requiere configurar otro runtime y motor de datos para desarrollar y probar.</w:t>
      </w:r>
    </w:p>
    <w:p>
      <w:pPr>
        <w:pStyle w:val="ListBullet"/>
      </w:pPr>
      <w:r>
        <w:t>Incorporar MariaDB a la API actual: permite persistencia real, pero no está configurado en el proyecto ni en el pipeline actual.</w:t>
      </w:r>
    </w:p>
    <w:p>
      <w:pPr>
        <w:pStyle w:val="Heading2"/>
      </w:pPr>
      <w:r>
        <w:t>Consecuencias</w:t>
      </w:r>
    </w:p>
    <w:p>
      <w:pPr>
        <w:pStyle w:val="ListBullet"/>
      </w:pPr>
      <w:r>
        <w:t>Positivas: se reutiliza el código y el pipeline existente; las pruebas pueden ejecutarse sin un servicio externo.</w:t>
      </w:r>
    </w:p>
    <w:p>
      <w:pPr>
        <w:pStyle w:val="ListBullet"/>
      </w:pPr>
      <w:r>
        <w:t>Negativas: los datos no persisten al reiniciar la API; EF Core InMemory no valida las restricciones, triggers ni transacciones del script MariaDB; la arquitectura del prototipo difiere de los diagramas.</w:t>
      </w:r>
    </w:p>
    <w:p>
      <w:pPr>
        <w:pStyle w:val="ListBullet"/>
      </w:pPr>
      <w:r>
        <w:t>Pendiente: tratar la diferencia entre el prototipo y los modelos como una brecha explícita antes de afirmar que el prototipo implementa la arquitectura completa.</w:t>
      </w:r>
    </w:p>
    <w:p>
      <w:pPr>
        <w:pStyle w:val="Heading2"/>
      </w:pPr>
      <w:r>
        <w:t>Fuentes</w:t>
      </w:r>
    </w:p>
    <w:p>
      <w:pPr>
        <w:pStyle w:val="ListBullet"/>
      </w:pPr>
      <w:hyperlink r:id="rId18">
        <w:r>
          <w:rPr>
            <w:color w:val="176B55"/>
            <w:u w:val="single"/>
          </w:rPr>
          <w:t>README</w:t>
        </w:r>
      </w:hyperlink>
    </w:p>
    <w:p>
      <w:pPr>
        <w:pStyle w:val="ListBullet"/>
      </w:pPr>
      <w:hyperlink r:id="rId19">
        <w:r>
          <w:rPr>
            <w:color w:val="176B55"/>
            <w:u w:val="single"/>
          </w:rPr>
          <w:t>Proyecto API</w:t>
        </w:r>
      </w:hyperlink>
    </w:p>
    <w:p>
      <w:pPr>
        <w:pStyle w:val="ListBullet"/>
      </w:pPr>
      <w:hyperlink r:id="rId20">
        <w:r>
          <w:rPr>
            <w:color w:val="176B55"/>
            <w:u w:val="single"/>
          </w:rPr>
          <w:t>Registro de servicios</w:t>
        </w:r>
      </w:hyperlink>
    </w:p>
    <w:p>
      <w:pPr>
        <w:pStyle w:val="ListBullet"/>
      </w:pPr>
      <w:hyperlink r:id="rId21">
        <w:r>
          <w:rPr>
            <w:color w:val="176B55"/>
            <w:u w:val="single"/>
          </w:rPr>
          <w:t>Pipeline CI</w:t>
        </w:r>
      </w:hyperlink>
    </w:p>
    <w:p>
      <w:pPr>
        <w:pStyle w:val="ListBullet"/>
      </w:pPr>
      <w:r>
        <w:t>Estado: Aceptada para el prototipo actual</w:t>
      </w:r>
    </w:p>
    <w:p>
      <w:pPr>
        <w:pStyle w:val="ListBullet"/>
      </w:pPr>
      <w:r>
        <w:t>Fecha: 2026-10-12</w:t>
      </w:r>
    </w:p>
    <w:p>
      <w:pPr>
        <w:pStyle w:val="Heading2"/>
      </w:pPr>
      <w:r>
        <w:t>Contexto</w:t>
      </w:r>
    </w:p>
    <w:p>
      <w:r>
        <w:t>La API expone GET /api/cultivos y POST /api/cultivos. El controlador delega en ICultivoService; CultivoService valida los datos y usa AppDbContext para persistirlos. No hay otras capas de acceso a datos en el prototipo.</w:t>
      </w:r>
    </w:p>
    <w:p>
      <w:pPr>
        <w:pStyle w:val="Heading2"/>
      </w:pPr>
      <w:r>
        <w:t>Decisión</w:t>
      </w:r>
    </w:p>
    <w:p>
      <w:r>
        <w:t>Mantener los endpoints en CultivosController y las reglas del caso de uso en CultivoService, detrás de ICultivoService. El contexto de EF Core se inyecta al servicio.</w:t>
      </w:r>
    </w:p>
    <w:p>
      <w:pPr>
        <w:pStyle w:val="Heading2"/>
      </w:pPr>
      <w:r>
        <w:t>Alternativas descartadas</w:t>
      </w:r>
    </w:p>
    <w:p>
      <w:pPr>
        <w:pStyle w:val="ListBullet"/>
      </w:pPr>
      <w:r>
        <w:t>Poner validaciones y persistencia directamente en el controlador: reduce archivos al inicio, pero acopla HTTP, reglas de negocio y acceso a datos, y dificulta probar el caso de uso sin pasar por la API.</w:t>
      </w:r>
    </w:p>
    <w:p>
      <w:pPr>
        <w:pStyle w:val="ListBullet"/>
      </w:pPr>
      <w:r>
        <w:t>Añadir un repositorio genérico entre el servicio y EF Core: agrega una abstracción que no se reutiliza ni aporta comportamiento adicional en este prototipo pequeño.</w:t>
      </w:r>
    </w:p>
    <w:p>
      <w:pPr>
        <w:pStyle w:val="Heading2"/>
      </w:pPr>
      <w:r>
        <w:t>Consecuencias</w:t>
      </w:r>
    </w:p>
    <w:p>
      <w:pPr>
        <w:pStyle w:val="ListBullet"/>
      </w:pPr>
      <w:r>
        <w:t>Positivas: las reglas del caso de uso se prueban con xUnit sin iniciar un servidor HTTP; el controlador queda como adaptador HTTP.</w:t>
      </w:r>
    </w:p>
    <w:p>
      <w:pPr>
        <w:pStyle w:val="ListBullet"/>
      </w:pPr>
      <w:r>
        <w:t>Negativas: el servicio depende directamente de EF Core y el caso de uso está acoplado al modelo de persistencia; al agregar módulos se deberá revisar si conviene separar dominios o transacciones.</w:t>
      </w:r>
    </w:p>
    <w:p>
      <w:pPr>
        <w:pStyle w:val="Heading2"/>
      </w:pPr>
      <w:r>
        <w:t>Fuentes</w:t>
      </w:r>
    </w:p>
    <w:p>
      <w:pPr>
        <w:pStyle w:val="ListBullet"/>
      </w:pPr>
      <w:hyperlink r:id="rId22">
        <w:r>
          <w:rPr>
            <w:color w:val="176B55"/>
            <w:u w:val="single"/>
          </w:rPr>
          <w:t>Controlador</w:t>
        </w:r>
      </w:hyperlink>
    </w:p>
    <w:p>
      <w:pPr>
        <w:pStyle w:val="ListBullet"/>
      </w:pPr>
      <w:hyperlink r:id="rId23">
        <w:r>
          <w:rPr>
            <w:color w:val="176B55"/>
            <w:u w:val="single"/>
          </w:rPr>
          <w:t>Interfaz del servicio</w:t>
        </w:r>
      </w:hyperlink>
    </w:p>
    <w:p>
      <w:pPr>
        <w:pStyle w:val="ListBullet"/>
      </w:pPr>
      <w:hyperlink r:id="rId24">
        <w:r>
          <w:rPr>
            <w:color w:val="176B55"/>
            <w:u w:val="single"/>
          </w:rPr>
          <w:t>Servicio</w:t>
        </w:r>
      </w:hyperlink>
    </w:p>
    <w:p>
      <w:pPr>
        <w:pStyle w:val="ListBullet"/>
      </w:pPr>
      <w:hyperlink r:id="rId25">
        <w:r>
          <w:rPr>
            <w:color w:val="176B55"/>
            <w:u w:val="single"/>
          </w:rPr>
          <w:t>Pruebas del servicio</w:t>
        </w:r>
      </w:hyperlink>
    </w:p>
    <w:p>
      <w:pPr>
        <w:pStyle w:val="ListBullet"/>
      </w:pPr>
      <w:r>
        <w:t>Estado: Aceptada para el prototipo actual</w:t>
      </w:r>
    </w:p>
    <w:p>
      <w:pPr>
        <w:pStyle w:val="ListBullet"/>
      </w:pPr>
      <w:r>
        <w:t>Fecha: 2026-10-12</w:t>
      </w:r>
    </w:p>
    <w:p>
      <w:pPr>
        <w:pStyle w:val="Heading2"/>
      </w:pPr>
      <w:r>
        <w:t>Contexto</w:t>
      </w:r>
    </w:p>
    <w:p>
      <w:r>
        <w:t>El registro de un cultivo en el prototipo crea también una fila de inventario con cantidad disponible igual a cero. La prueba de aceptación de RegistrarAsync verifica ese comportamiento. El script Base de datosV2.txt describe otro flujo: el inventario se crea o incrementa al registrar una cosecha.</w:t>
      </w:r>
    </w:p>
    <w:p>
      <w:pPr>
        <w:pStyle w:val="Heading2"/>
      </w:pPr>
      <w:r>
        <w:t>Decisión</w:t>
      </w:r>
    </w:p>
    <w:p>
      <w:r>
        <w:t>Para el prototipo actual, crear una fila de inventario en cero inmediatamente después de guardar el cultivo. Esta regla es parte del caso de uso simplificado y no sustituye el flujo de cosechas definido en el script SQL.</w:t>
      </w:r>
    </w:p>
    <w:p>
      <w:pPr>
        <w:pStyle w:val="Heading2"/>
      </w:pPr>
      <w:r>
        <w:t>Alternativas descartadas</w:t>
      </w:r>
    </w:p>
    <w:p>
      <w:pPr>
        <w:pStyle w:val="ListBullet"/>
      </w:pPr>
      <w:r>
        <w:t>Crear el inventario únicamente al registrar la primera cosecha, como en el trigger de Base de datosV2.txt: coincide con el flujo del modelo de datos completo, pero requeriría implementar cosechas en esta API.</w:t>
      </w:r>
    </w:p>
    <w:p>
      <w:pPr>
        <w:pStyle w:val="ListBullet"/>
      </w:pPr>
      <w:r>
        <w:t>No crear inventario al registrar el cultivo y esperar a una operación explícita de inventario: agrega un paso manual y no satisface la prueba existente del prototipo.</w:t>
      </w:r>
    </w:p>
    <w:p>
      <w:pPr>
        <w:pStyle w:val="Heading2"/>
      </w:pPr>
      <w:r>
        <w:t>Consecuencias</w:t>
      </w:r>
    </w:p>
    <w:p>
      <w:pPr>
        <w:pStyle w:val="ListBullet"/>
      </w:pPr>
      <w:r>
        <w:t>Positivas: el cultivo recién creado siempre tiene inventario consultable; el comportamiento está cubierto por una prueba.</w:t>
      </w:r>
    </w:p>
    <w:p>
      <w:pPr>
        <w:pStyle w:val="ListBullet"/>
      </w:pPr>
      <w:r>
        <w:t>Negativas: el registro y la creación del inventario son dos llamadas a SaveChangesAsync; con una base relacional, un fallo entre ambas puede dejar datos parciales si no se usa una transacción.</w:t>
      </w:r>
    </w:p>
    <w:p>
      <w:pPr>
        <w:pStyle w:val="ListBullet"/>
      </w:pPr>
      <w:r>
        <w:t>Negativas: difiere del trigger de MariaDB, que inicializa el inventario en la primera cosecha. La integración de ambos comportamientos requiere una decisión antes de conectar una base persistente.</w:t>
      </w:r>
    </w:p>
    <w:p>
      <w:pPr>
        <w:pStyle w:val="Heading2"/>
      </w:pPr>
      <w:r>
        <w:t>Fuentes</w:t>
      </w:r>
    </w:p>
    <w:p>
      <w:pPr>
        <w:pStyle w:val="ListBullet"/>
      </w:pPr>
      <w:hyperlink r:id="rId24">
        <w:r>
          <w:rPr>
            <w:color w:val="176B55"/>
            <w:u w:val="single"/>
          </w:rPr>
          <w:t>Servicio de cultivos</w:t>
        </w:r>
      </w:hyperlink>
    </w:p>
    <w:p>
      <w:pPr>
        <w:pStyle w:val="ListBullet"/>
      </w:pPr>
      <w:hyperlink r:id="rId25">
        <w:r>
          <w:rPr>
            <w:color w:val="176B55"/>
            <w:u w:val="single"/>
          </w:rPr>
          <w:t>Pruebas de cultivos</w:t>
        </w:r>
      </w:hyperlink>
    </w:p>
    <w:p>
      <w:pPr>
        <w:pStyle w:val="ListBullet"/>
      </w:pPr>
      <w:hyperlink r:id="rId26">
        <w:r>
          <w:rPr>
            <w:color w:val="176B55"/>
            <w:u w:val="single"/>
          </w:rPr>
          <w:t>Script de base de datos v2</w:t>
        </w:r>
      </w:hyperlink>
    </w:p>
    <w:p>
      <w:r>
        <w:br w:type="page"/>
      </w:r>
    </w:p>
    <w:p>
      <w:pPr>
        <w:pStyle w:val="Heading1"/>
      </w:pPr>
      <w:r>
        <w:t>3. Matriz de decisión del stack</w:t>
      </w:r>
    </w:p>
    <w:p>
      <w:pPr>
        <w:pStyle w:val="Heading2"/>
      </w:pPr>
      <w:r>
        <w:t>Criterios y escala</w:t>
      </w:r>
    </w:p>
    <w:p>
      <w:r>
        <w:t>Cada opción recibe una calificación de 1 a 5; 5 es el mejor ajuste. El puntaje total es la suma ponderada. El conocimiento previo pesa doble, como pide la rúbrica.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336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type="dxa" w:w="336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Lo que el equipo ya sabe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Evidencia de uso en este repositorio; no sustituye una encuesta a los integrantes.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Ajuste a los modelos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Correspondencia con la arquitectura representada en los diagramas.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Continuidad con el repositorio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Reutilización del código y estructura existentes.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Pruebas y CI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Facilidad para probar y ejecutar en el pipeline actual.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Sencillez de ejecución local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Menos servicios y configuración necesarios para el prototipo.</w:t>
            </w:r>
          </w:p>
        </w:tc>
      </w:tr>
    </w:tbl>
    <w:p/>
    <w:p>
      <w:r>
        <w:t>Las calificaciones de conocimiento se basan solo en evidencia comprobable: el backend .NET ya tiene código y pruebas; no hay frontend ni código PHP o Node en el repo. Por eso, un 1 significa "sin evidencia en este repositorio", no que el equipo desconozca la tecnología. El equipo debe confirmar estas puntuaciones antes de presentar la matriz como encuesta de experiencia.</w:t>
      </w:r>
    </w:p>
    <w:p>
      <w:pPr>
        <w:pStyle w:val="Heading2"/>
      </w:pPr>
      <w:r>
        <w:t>Frontend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Opción</w:t>
            </w:r>
          </w:p>
        </w:tc>
        <w:tc>
          <w:tcPr>
            <w:tcW w:type="dxa" w:w="144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Conocimiento (x2)</w:t>
            </w:r>
          </w:p>
        </w:tc>
        <w:tc>
          <w:tcPr>
            <w:tcW w:type="dxa" w:w="144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Modelos</w:t>
            </w:r>
          </w:p>
        </w:tc>
        <w:tc>
          <w:tcPr>
            <w:tcW w:type="dxa" w:w="144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Continuidad</w:t>
            </w:r>
          </w:p>
        </w:tc>
        <w:tc>
          <w:tcPr>
            <w:tcW w:type="dxa" w:w="144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CI/pruebas</w:t>
            </w:r>
          </w:p>
        </w:tc>
        <w:tc>
          <w:tcPr>
            <w:tcW w:type="dxa" w:w="144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Ejecución local</w:t>
            </w:r>
          </w:p>
        </w:tc>
        <w:tc>
          <w:tcPr>
            <w:tcW w:type="dxa" w:w="144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Total / 30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React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 (2)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Vue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 (2)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Blazor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 (2)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17</w:t>
            </w:r>
          </w:p>
        </w:tc>
      </w:tr>
    </w:tbl>
    <w:p/>
    <w:p>
      <w:r>
        <w:t>Recomendación: React para una futura interfaz, por ser el frontend que aparece en los modelos. No está implementado en el prototipo actual; Swagger UI es la interfaz disponible para explorar la API.</w:t>
      </w:r>
    </w:p>
    <w:p>
      <w:r>
        <w:t>Por qué se descarta la segunda opción, Blazor: se aparta del frontend React representado en los modelos y añadiría una aplicación web que hoy no existe ni hace falta para demostrar los endpoints de la API.</w:t>
      </w:r>
    </w:p>
    <w:p>
      <w:pPr>
        <w:pStyle w:val="Heading2"/>
      </w:pPr>
      <w:r>
        <w:t>Backend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Opción</w:t>
            </w:r>
          </w:p>
        </w:tc>
        <w:tc>
          <w:tcPr>
            <w:tcW w:type="dxa" w:w="144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Conocimiento (x2)</w:t>
            </w:r>
          </w:p>
        </w:tc>
        <w:tc>
          <w:tcPr>
            <w:tcW w:type="dxa" w:w="144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Modelos</w:t>
            </w:r>
          </w:p>
        </w:tc>
        <w:tc>
          <w:tcPr>
            <w:tcW w:type="dxa" w:w="144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Continuidad</w:t>
            </w:r>
          </w:p>
        </w:tc>
        <w:tc>
          <w:tcPr>
            <w:tcW w:type="dxa" w:w="144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CI/pruebas</w:t>
            </w:r>
          </w:p>
        </w:tc>
        <w:tc>
          <w:tcPr>
            <w:tcW w:type="dxa" w:w="144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Ejecución local</w:t>
            </w:r>
          </w:p>
        </w:tc>
        <w:tc>
          <w:tcPr>
            <w:tcW w:type="dxa" w:w="144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Total / 30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ASP.NET Core .NET 8 + EF Core InMemory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5 (10)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27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Laravel + Eloquent + MariaDB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 (2)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Node.js + Express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 (2)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</w:tr>
    </w:tbl>
    <w:p/>
    <w:p>
      <w:r>
        <w:t>Decisión para el prototipo: conservar ASP.NET Core .NET 8, EF Core InMemory y xUnit. Es el stack presente, compila en CI y el usuario confirmó que se debe seguir usando. Esta decisión no afirma que el prototipo ya corresponda a la arquitectura Laravel/MariaDB de los modelos.</w:t>
      </w:r>
    </w:p>
    <w:p>
      <w:r>
        <w:t>Por qué se descarta la segunda opción, Laravel: exigiría reemplazar el backend y el pipeline .NET que ya pasan pruebas; además requiere configurar PHP y MariaDB, servicios que no están en el repo ni son necesarios para la demo autocontenida actual.</w:t>
      </w:r>
    </w:p>
    <w:p>
      <w:pPr>
        <w:pStyle w:val="Heading2"/>
      </w:pPr>
      <w:r>
        <w:t>Alcance y validación pendiente</w:t>
      </w:r>
    </w:p>
    <w:p>
      <w:r>
        <w:t>La recomendación React es una evaluación para una interfaz futura, no una dependencia agregada. Los puntajes de familiaridad de todo el equipo deben confirmarse con sus integrantes; el repositorio por sí solo solo demuestra que existe código y experiencia de trabajo compartido en .NET.</w:t>
      </w:r>
    </w:p>
    <w:p>
      <w:r>
        <w:t xml:space="preserve">Fuentes: </w:t>
      </w:r>
      <w:hyperlink r:id="rId27">
        <w:r>
          <w:rPr>
            <w:color w:val="176B55"/>
            <w:u w:val="single"/>
          </w:rPr>
          <w:t>README</w:t>
        </w:r>
      </w:hyperlink>
      <w:r>
        <w:t xml:space="preserve">, </w:t>
      </w:r>
      <w:hyperlink r:id="rId28">
        <w:r>
          <w:rPr>
            <w:color w:val="176B55"/>
            <w:u w:val="single"/>
          </w:rPr>
          <w:t>API</w:t>
        </w:r>
      </w:hyperlink>
      <w:r>
        <w:t xml:space="preserve">, </w:t>
      </w:r>
      <w:hyperlink r:id="rId29">
        <w:r>
          <w:rPr>
            <w:color w:val="176B55"/>
            <w:u w:val="single"/>
          </w:rPr>
          <w:t>pruebas</w:t>
        </w:r>
      </w:hyperlink>
      <w:r>
        <w:t xml:space="preserve">, </w:t>
      </w:r>
      <w:hyperlink r:id="rId30">
        <w:r>
          <w:rPr>
            <w:color w:val="176B55"/>
            <w:u w:val="single"/>
          </w:rPr>
          <w:t>CI</w:t>
        </w:r>
      </w:hyperlink>
      <w:r>
        <w:t>.</w:t>
      </w:r>
    </w:p>
    <w:p>
      <w:r>
        <w:br w:type="page"/>
      </w:r>
    </w:p>
    <w:p>
      <w:pPr>
        <w:pStyle w:val="Heading1"/>
      </w:pPr>
      <w:r>
        <w:t>4. Plan de pruebas</w:t>
      </w:r>
    </w:p>
    <w:p>
      <w:pPr>
        <w:pStyle w:val="Heading2"/>
      </w:pPr>
      <w:r>
        <w:t>Pirámide de pruebas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336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Qué se verifica</w:t>
            </w:r>
          </w:p>
        </w:tc>
        <w:tc>
          <w:tcPr>
            <w:tcW w:type="dxa" w:w="336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Estado en este repositorio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Unitarias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Validaciones y reglas de CultivoService aisladas con EF Core InMemory.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7 casos automatizados.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Integración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Rutas HTTP, códigos de respuesta, serialización, inyección y persistencia a través de la API.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No hay pruebas automatizadas.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Sistema / extremo a extremo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Recorrido de usuario por una interfaz web y persistencia en una base real.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No hay frontend ni pruebas automatizadas de este nivel.</w:t>
            </w:r>
          </w:p>
        </w:tc>
      </w:tr>
    </w:tbl>
    <w:p/>
    <w:p>
      <w:r>
        <w:t>La CI de GitHub Actions restaura, compila y ejecuta las pruebas unitarias. El uso de EF Core InMemory no sustituye una prueba de integración con MariaDB ni valida sus triggers.</w:t>
      </w:r>
    </w:p>
    <w:p>
      <w:pPr>
        <w:pStyle w:val="Heading2"/>
      </w:pPr>
      <w:r>
        <w:t>Pruebas implementadas</w:t>
      </w:r>
    </w:p>
    <w:p>
      <w:r>
        <w:t>Las siete ejecuciones corresponden a cinco métodos de prueba: una prueba de registro, tres casos de una teoría de validación, una prueba de listado y dos pruebas de consulta individual.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Prueba</w:t>
            </w:r>
          </w:p>
        </w:tc>
        <w:tc>
          <w:tcPr>
            <w:tcW w:type="dxa" w:w="336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Nivel</w:t>
            </w:r>
          </w:p>
        </w:tc>
        <w:tc>
          <w:tcPr>
            <w:tcW w:type="dxa" w:w="336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RegistrarAsync_ConDatosValidos_CreaCultivoConInventarioInicialEnCero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Unitaria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Asigna ID, conserva nombre y crea inventario inicial en cero.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RegistrarAsync_ConCampoObligatorioVacio_NoRegistraDatos con nombre vacío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Unitaria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Lanza ArgumentException; no crea cultivo ni inventario.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RegistrarAsync_ConCampoObligatorioVacio_NoRegistraDatos con tipo en blanco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Unitaria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Lanza ArgumentException; no crea cultivo ni inventario.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RegistrarAsync_ConCampoObligatorioVacio_NoRegistraDatos con lote vacío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Unitaria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Lanza ArgumentException; no crea cultivo ni inventario.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ListarAsync_DespuesDeRegistrarCultivos_DevuelveTodosLosRegistrados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Unitaria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Devuelve los cultivos registrados.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ObtenerPorIdAsync_ConCultivoRegistrado_DevuelveElCultivo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Unitaria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Devuelve el cultivo solicitado por identificador.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ObtenerPorIdAsync_SinCoincidencia_DevuelveNull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Unitaria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Devuelve null cuando no existe el identificador.</w:t>
            </w:r>
          </w:p>
        </w:tc>
      </w:tr>
    </w:tbl>
    <w:p/>
    <w:p>
      <w:r>
        <w:t xml:space="preserve">Fuente: </w:t>
      </w:r>
      <w:hyperlink r:id="rId31">
        <w:r>
          <w:rPr>
            <w:color w:val="176B55"/>
            <w:u w:val="single"/>
          </w:rPr>
          <w:t>pruebas xUnit</w:t>
        </w:r>
      </w:hyperlink>
      <w:r>
        <w:t>.</w:t>
      </w:r>
    </w:p>
    <w:p>
      <w:pPr>
        <w:pStyle w:val="Heading2"/>
      </w:pPr>
      <w:r>
        <w:t>Trazabilidad a criterios de aceptación</w:t>
      </w:r>
    </w:p>
    <w:p>
      <w:r>
        <w:t>No se encontró el backlog formal en el repositorio. Los IDs siguientes son referencias provisionales reconstruidas de los comentarios y pruebas existentes; deben cotejarse con las historias oficiales antes de entregar.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Referencia provisional</w:t>
            </w:r>
          </w:p>
        </w:tc>
        <w:tc>
          <w:tcPr>
            <w:tcW w:type="dxa" w:w="2016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Dado</w:t>
            </w:r>
          </w:p>
        </w:tc>
        <w:tc>
          <w:tcPr>
            <w:tcW w:type="dxa" w:w="2016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Cuando</w:t>
            </w:r>
          </w:p>
        </w:tc>
        <w:tc>
          <w:tcPr>
            <w:tcW w:type="dxa" w:w="2016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Entonces</w:t>
            </w:r>
          </w:p>
        </w:tc>
        <w:tc>
          <w:tcPr>
            <w:tcW w:type="dxa" w:w="2016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Prueba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RF-01 / AC-01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Un administrador dispone de nombre, tipo, lote y fecha válidos.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Registra un cultivo.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El cultivo se crea y se devuelve con identificador.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RegistrarAsync_ConDatosValidos_CreaCultivoConInventarioInicialEnCero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RNF-06 / AC-02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El nombre, tipo o lote está vacío o en blanco.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Se intenta registrar el cultivo.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La operación falla con ArgumentException y no guarda cultivo ni inventario.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RegistrarAsync_ConCampoObligatorioVacio_NoRegistraDatos (3 datos)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RF-07 / AC-03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Se registra un cultivo válido.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El servicio termina el registro.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Existe inventario asociado con cantidad disponible igual a cero.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RegistrarAsync_ConDatosValidos_CreaCultivoConInventarioInicialEnCero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RF-02 / AC-04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Hay cultivos registrados.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Se solicita el listado.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La respuesta contiene todos los cultivos guardados.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ListarAsync_DespuesDeRegistrarCultivos_DevuelveTodosLosRegistrados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RF-02 / AC-05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Existe o no un cultivo con el identificador consultado.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Se solicita GET /api/cultivos/{id}.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El servicio devuelve el cultivo o null; el controlador responde 200 o 404, respectivamente.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ObtenerPorIdAsync_ConCultivoRegistrado_DevuelveElCultivo; ObtenerPorIdAsync_SinCoincidencia_DevuelveNull; códigos HTTP solo verificados manualmente</w:t>
            </w:r>
          </w:p>
        </w:tc>
      </w:tr>
    </w:tbl>
    <w:p/>
    <w:p>
      <w:pPr>
        <w:pStyle w:val="Heading2"/>
      </w:pPr>
      <w:r>
        <w:t>Verificación manual disponible</w:t>
      </w:r>
    </w:p>
    <w:p>
      <w:r>
        <w:t xml:space="preserve">Swagger permite probar POST /api/cultivos y GET /api/cultivos al ejecutar la API localmente. Este recorrido es una comprobación manual, no se cuenta como prueba automatizada ni reemplaza pruebas de integración. Véanse las instrucciones del </w:t>
      </w:r>
      <w:hyperlink r:id="rId27">
        <w:r>
          <w:rPr>
            <w:color w:val="176B55"/>
            <w:u w:val="single"/>
          </w:rPr>
          <w:t>README</w:t>
        </w:r>
      </w:hyperlink>
      <w:r>
        <w:t>.</w:t>
      </w:r>
    </w:p>
    <w:p>
      <w:r>
        <w:t>Nota de alcance: la prueba RF-07 refleja el comportamiento simplificado del prototipo. El trigger en Base de datosV2.txt crea el inventario al registrar la primera cosecha; esa diferencia debe resolverse al integrar ambos modelos.</w:t>
      </w:r>
    </w:p>
    <w:p>
      <w:r>
        <w:br w:type="page"/>
      </w:r>
    </w:p>
    <w:p>
      <w:pPr>
        <w:pStyle w:val="Heading1"/>
      </w:pPr>
      <w:r>
        <w:t>5. Prototipo funcionando</w:t>
      </w:r>
    </w:p>
    <w:p>
      <w:r>
        <w:t>Versión mínima y autocontenida para el taller evaluable de integración continua.</w:t>
      </w:r>
    </w:p>
    <w:p>
      <w:r>
        <w:t>No es el proyecto completo de AgroStock (ese tiene autenticación, MariaDB, y los</w:t>
      </w:r>
    </w:p>
    <w:p>
      <w:r>
        <w:t>módulos de Cosechas/Inventario/Clientes/Ventas). Aquí solo vive la historia RF-01,</w:t>
      </w:r>
    </w:p>
    <w:p>
      <w:r>
        <w:t>lo mínimo necesario para cumplir los 5 entregables del taller.</w:t>
      </w:r>
    </w:p>
    <w:p>
      <w:pPr>
        <w:pStyle w:val="Heading2"/>
      </w:pPr>
      <w:r>
        <w:t>Stack</w:t>
      </w:r>
    </w:p>
    <w:p>
      <w:pPr>
        <w:pStyle w:val="ListBullet"/>
      </w:pPr>
      <w:r>
        <w:t>C# / ASP.NET Core Web API (.NET 8)</w:t>
      </w:r>
    </w:p>
    <w:p>
      <w:pPr>
        <w:pStyle w:val="ListBullet"/>
      </w:pPr>
      <w:r>
        <w:t>Entity Framework Core (InMemory — no requiere instalar ninguna base de datos)</w:t>
      </w:r>
    </w:p>
    <w:p>
      <w:pPr>
        <w:pStyle w:val="ListBullet"/>
      </w:pPr>
      <w:r>
        <w:t>xUnit</w:t>
      </w:r>
    </w:p>
    <w:p>
      <w:pPr>
        <w:pStyle w:val="Heading2"/>
      </w:pPr>
      <w:r>
        <w:t>Cómo levantar el proyecto</w:t>
      </w:r>
    </w:p>
    <w:p>
      <w:r>
        <w:t>```bash</w:t>
      </w:r>
    </w:p>
    <w:p>
      <w:r>
        <w:t>cd src/AgroStockTaller.Api</w:t>
      </w:r>
    </w:p>
    <w:p>
      <w:r>
        <w:t>dotnet restore</w:t>
      </w:r>
    </w:p>
    <w:p>
      <w:r>
        <w:t>dotnet run</w:t>
      </w:r>
    </w:p>
    <w:p>
      <w:r>
        <w:t>```</w:t>
      </w:r>
    </w:p>
    <w:p>
      <w:r>
        <w:t>Abre http://localhost:5000/swagger (o el puerto que indique la consola) para probar</w:t>
      </w:r>
    </w:p>
    <w:p>
      <w:r>
        <w:t>POST /api/cultivos, GET /api/cultivos y GET /api/cultivos/{id} manualmente.</w:t>
      </w:r>
    </w:p>
    <w:p>
      <w:pPr>
        <w:pStyle w:val="Quote"/>
      </w:pPr>
      <w:r>
        <w:t>Nota importante para Windows: si el repositorio está dentro de OneDrive, el ensamblado de pruebas puede quedar bloqueado por la protección de "Control de aplicaciones". Para evitarlo, clona o copia el proyecto en una carpeta normal como C:\Users\&lt;tu_usuario&gt;\source\repos\Agrostock.</w:t>
      </w:r>
    </w:p>
    <w:p>
      <w:pPr>
        <w:pStyle w:val="Heading2"/>
      </w:pPr>
      <w:r>
        <w:t>Cómo correr las pruebas</w:t>
      </w:r>
    </w:p>
    <w:p>
      <w:r>
        <w:t>```bash</w:t>
      </w:r>
    </w:p>
    <w:p>
      <w:r>
        <w:t>cd tests/AgroStockTaller.Tests</w:t>
      </w:r>
    </w:p>
    <w:p>
      <w:r>
        <w:t>dotnet restore</w:t>
      </w:r>
    </w:p>
    <w:p>
      <w:r>
        <w:t>dotnet test</w:t>
      </w:r>
    </w:p>
    <w:p>
      <w:r>
        <w:t>```</w:t>
      </w:r>
    </w:p>
    <w:p>
      <w:r>
        <w:t>Debe mostrar 7 casos aprobados y ninguno fallido.</w:t>
      </w:r>
    </w:p>
    <w:p>
      <w:pPr>
        <w:pStyle w:val="Heading2"/>
      </w:pPr>
      <w:r>
        <w:t>Estado del pipeline</w:t>
      </w:r>
    </w:p>
    <w:p>
      <w:r>
        <w:t>!</w:t>
      </w:r>
      <w:hyperlink r:id="rId32">
        <w:r>
          <w:rPr>
            <w:color w:val="176B55"/>
            <w:u w:val="single"/>
          </w:rPr>
          <w:t>CI</w:t>
        </w:r>
      </w:hyperlink>
    </w:p>
    <w:p>
      <w:pPr>
        <w:pStyle w:val="Heading2"/>
      </w:pPr>
      <w:r>
        <w:t>Documentación de entrega</w:t>
      </w:r>
    </w:p>
    <w:p>
      <w:pPr>
        <w:pStyle w:val="ListBullet"/>
      </w:pPr>
      <w:hyperlink r:id="rId33">
        <w:r>
          <w:rPr>
            <w:color w:val="176B55"/>
            <w:u w:val="single"/>
          </w:rPr>
          <w:t>ADR</w:t>
        </w:r>
      </w:hyperlink>
    </w:p>
    <w:p>
      <w:pPr>
        <w:pStyle w:val="ListBullet"/>
      </w:pPr>
      <w:hyperlink r:id="rId34">
        <w:r>
          <w:rPr>
            <w:color w:val="176B55"/>
            <w:u w:val="single"/>
          </w:rPr>
          <w:t>Matriz de decisión del stack</w:t>
        </w:r>
      </w:hyperlink>
    </w:p>
    <w:p>
      <w:pPr>
        <w:pStyle w:val="ListBullet"/>
      </w:pPr>
      <w:hyperlink r:id="rId35">
        <w:r>
          <w:rPr>
            <w:color w:val="176B55"/>
            <w:u w:val="single"/>
          </w:rPr>
          <w:t>Plan de pruebas</w:t>
        </w:r>
      </w:hyperlink>
    </w:p>
    <w:p>
      <w:pPr>
        <w:pStyle w:val="ListBullet"/>
      </w:pPr>
      <w:hyperlink r:id="rId36">
        <w:r>
          <w:rPr>
            <w:color w:val="176B55"/>
            <w:u w:val="single"/>
          </w:rPr>
          <w:t>Registro de deuda técnica</w:t>
        </w:r>
      </w:hyperlink>
    </w:p>
    <w:p>
      <w:pPr>
        <w:pStyle w:val="ListBullet"/>
      </w:pPr>
      <w:hyperlink r:id="rId37">
        <w:r>
          <w:rPr>
            <w:color w:val="176B55"/>
            <w:u w:val="single"/>
          </w:rPr>
          <w:t>Matriz de riesgos</w:t>
        </w:r>
      </w:hyperlink>
    </w:p>
    <w:p>
      <w:pPr>
        <w:pStyle w:val="ListBullet"/>
      </w:pPr>
      <w:hyperlink r:id="rId38">
        <w:r>
          <w:rPr>
            <w:color w:val="176B55"/>
            <w:u w:val="single"/>
          </w:rPr>
          <w:t>Trazabilidad</w:t>
        </w:r>
      </w:hyperlink>
    </w:p>
    <w:p>
      <w:pPr>
        <w:pStyle w:val="ListBullet"/>
      </w:pPr>
      <w:hyperlink r:id="rId39">
        <w:r>
          <w:rPr>
            <w:color w:val="176B55"/>
            <w:u w:val="single"/>
          </w:rPr>
          <w:t>Nota de uso de IA</w:t>
        </w:r>
      </w:hyperlink>
    </w:p>
    <w:p>
      <w:pPr>
        <w:pStyle w:val="ListBullet"/>
      </w:pPr>
      <w:hyperlink r:id="rId40">
        <w:r>
          <w:rPr>
            <w:color w:val="176B55"/>
            <w:u w:val="single"/>
          </w:rPr>
          <w:t>Modelos editables</w:t>
        </w:r>
      </w:hyperlink>
    </w:p>
    <w:p>
      <w:pPr>
        <w:pStyle w:val="ListBullet"/>
      </w:pPr>
      <w:hyperlink r:id="rId41">
        <w:r>
          <w:rPr>
            <w:color w:val="176B55"/>
            <w:u w:val="single"/>
          </w:rPr>
          <w:t>Documento consolidado en PDF</w:t>
        </w:r>
      </w:hyperlink>
    </w:p>
    <w:p>
      <w:pPr>
        <w:pStyle w:val="ListBullet"/>
      </w:pPr>
      <w:hyperlink r:id="rId42">
        <w:r>
          <w:rPr>
            <w:color w:val="176B55"/>
            <w:u w:val="single"/>
          </w:rPr>
          <w:t>Versión editable en Word</w:t>
        </w:r>
      </w:hyperlink>
    </w:p>
    <w:p>
      <w:r>
        <w:t>El Modelo 2 (diagrama de clases) se consulta desde</w:t>
      </w:r>
    </w:p>
    <w:p>
      <w:hyperlink r:id="rId12">
        <w:r>
          <w:rPr>
            <w:color w:val="176B55"/>
            <w:u w:val="single"/>
          </w:rPr>
          <w:t>Google Drive</w:t>
        </w:r>
      </w:hyperlink>
      <w:r>
        <w:t>.</w:t>
      </w:r>
    </w:p>
    <w:p>
      <w:r>
        <w:t>Para visualizarlo con facilidad, abre el enlace con draw.io (diagrams.net). La</w:t>
      </w:r>
    </w:p>
    <w:p>
      <w:r>
        <w:t>pestaña homónima de los SVG locales solo contiene una anotación.</w:t>
      </w:r>
    </w:p>
    <w:p>
      <w:r>
        <w:t>Para regenerar el PDF en Windows, instala las dependencias con</w:t>
      </w:r>
    </w:p>
    <w:p>
      <w:r>
        <w:t>py -m pip install -r docs/requirements-pdf.txt y ejecuta</w:t>
      </w:r>
    </w:p>
    <w:p>
      <w:r>
        <w:t>py scripts/build_delivery_pdf.py. Se requiere Microsoft Edge o Google Chrome.</w:t>
      </w:r>
    </w:p>
    <w:p>
      <w:r>
        <w:t>Para regenerar la versión editable en Word, instala docs/requirements-word.txt</w:t>
      </w:r>
    </w:p>
    <w:p>
      <w:r>
        <w:t>y ejecuta py scripts/build_delivery_docx.py.</w:t>
      </w:r>
    </w:p>
    <w:p>
      <w:pPr>
        <w:pStyle w:val="Heading2"/>
      </w:pPr>
      <w:r>
        <w:t>Integrantes</w:t>
      </w:r>
    </w:p>
    <w:p>
      <w:pPr>
        <w:pStyle w:val="ListBullet"/>
      </w:pPr>
      <w:r>
        <w:t>Juan Felipe Cardona</w:t>
      </w:r>
    </w:p>
    <w:p>
      <w:pPr>
        <w:pStyle w:val="ListBullet"/>
      </w:pPr>
      <w:r>
        <w:t>Juan Camilo González</w:t>
      </w:r>
    </w:p>
    <w:p>
      <w:pPr>
        <w:pStyle w:val="ListBullet"/>
      </w:pPr>
      <w:r>
        <w:t>Daniel Villa</w:t>
      </w:r>
    </w:p>
    <w:p>
      <w:r>
        <w:br w:type="page"/>
      </w:r>
    </w:p>
    <w:p>
      <w:pPr>
        <w:pStyle w:val="Heading1"/>
      </w:pPr>
      <w:r>
        <w:t>6. Registro de deuda técnica</w:t>
      </w:r>
    </w:p>
    <w:p>
      <w:r>
        <w:t>Estimaciones preliminares en días-persona para una persona familiarizada con el repo; deben revisarse con el equipo. Los cuadrantes combinan deliberada/inadvertida y prudente/imprudente.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016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Deuda y evidencia</w:t>
            </w:r>
          </w:p>
        </w:tc>
        <w:tc>
          <w:tcPr>
            <w:tcW w:type="dxa" w:w="2016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Cuadrante</w:t>
            </w:r>
          </w:p>
        </w:tc>
        <w:tc>
          <w:tcPr>
            <w:tcW w:type="dxa" w:w="2016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Costo estimado</w:t>
            </w:r>
          </w:p>
        </w:tc>
        <w:tc>
          <w:tcPr>
            <w:tcW w:type="dxa" w:w="2016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Plan de pago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DT-01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El prototipo usa EF Core InMemory: los datos se pierden al reiniciar y no se ejercitan las restricciones ni triggers de MariaDB.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Deliberada / prudente: simplifica la demo autocontenida, pero limita su uso como aplicación.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2-3 días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Cuando se autorice persistencia real, agregar un proveedor relacional, configuración local y pruebas de integración; conservar InMemory solo para pruebas unitarias si sigue aportando valor.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DT-02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La implementación es .NET y la API solo cubre cultivos; los modelos describen React, Laravel/Eloquent, MariaDB y otros módulos.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Deliberada / imprudente para una entrega que pretenda representar el producto completo: la diferencia ya es conocida y queda visible en ADR-0001.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3-5 días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Confirmar alcance con el equipo; si el stack del repo es el definitivo, actualizar los modelos en una revisión posterior; si los modelos mandan, planificar migración por módulos y no declarar equivalencia antes de implementarla.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DT-03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RegistrarAsync guarda cultivo e inventario en llamadas separadas a SaveChangesAsync; una falla en la segunda puede dejar estado parcial con un proveedor relacional.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Inadvertida / imprudente: no hay transacción en la operación.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0.5-1 día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Al añadir persistencia relacional, envolver ambas escrituras en una transacción y probar rollback con una base relacional. EF Core InMemory no permite validar esta propiedad.</w:t>
            </w:r>
          </w:p>
        </w:tc>
      </w:tr>
    </w:tbl>
    <w:p/>
    <w:p>
      <w:r>
        <w:t xml:space="preserve">La clasificación es una lectura del estado actual, no una decisión histórica del equipo. Fuentes: </w:t>
      </w:r>
      <w:hyperlink r:id="rId43">
        <w:r>
          <w:rPr>
            <w:color w:val="176B55"/>
            <w:u w:val="single"/>
          </w:rPr>
          <w:t>ADR-0001</w:t>
        </w:r>
      </w:hyperlink>
      <w:r>
        <w:t xml:space="preserve">, </w:t>
      </w:r>
      <w:hyperlink r:id="rId44">
        <w:r>
          <w:rPr>
            <w:color w:val="176B55"/>
            <w:u w:val="single"/>
          </w:rPr>
          <w:t>ADR-0003</w:t>
        </w:r>
      </w:hyperlink>
      <w:r>
        <w:t xml:space="preserve">, </w:t>
      </w:r>
      <w:hyperlink r:id="rId45">
        <w:r>
          <w:rPr>
            <w:color w:val="176B55"/>
            <w:u w:val="single"/>
          </w:rPr>
          <w:t>servicio</w:t>
        </w:r>
      </w:hyperlink>
      <w:r>
        <w:t xml:space="preserve">, </w:t>
      </w:r>
      <w:hyperlink r:id="rId28">
        <w:r>
          <w:rPr>
            <w:color w:val="176B55"/>
            <w:u w:val="single"/>
          </w:rPr>
          <w:t>proyecto API</w:t>
        </w:r>
      </w:hyperlink>
      <w:r>
        <w:t xml:space="preserve"> y </w:t>
      </w:r>
      <w:hyperlink r:id="rId46">
        <w:r>
          <w:rPr>
            <w:color w:val="176B55"/>
            <w:u w:val="single"/>
          </w:rPr>
          <w:t>script MariaDB</w:t>
        </w:r>
      </w:hyperlink>
      <w:r>
        <w:t>.</w:t>
      </w:r>
    </w:p>
    <w:p>
      <w:r>
        <w:br w:type="page"/>
      </w:r>
    </w:p>
    <w:p>
      <w:pPr>
        <w:pStyle w:val="Heading1"/>
      </w:pPr>
      <w:r>
        <w:t>7. Matriz de riesgos actualizada</w:t>
      </w:r>
    </w:p>
    <w:p>
      <w:r>
        <w:t>Fecha de revisión: 2026-10-12. No se encontró en el repositorio la matriz original de la semana 8. Esta revisión registra evidencia disponible ahora; no permite reconstruir ni atribuir estados previos a riesgos que no estén documentados.</w:t>
      </w:r>
    </w:p>
    <w:p>
      <w:r>
        <w:t>Escala: probabilidad e impacto de 1 (bajo) a 5 (alto); exposición = probabilidad × impacto.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144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44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Riesgo / evidencia</w:t>
            </w:r>
          </w:p>
        </w:tc>
        <w:tc>
          <w:tcPr>
            <w:tcW w:type="dxa" w:w="144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Prob.</w:t>
            </w:r>
          </w:p>
        </w:tc>
        <w:tc>
          <w:tcPr>
            <w:tcW w:type="dxa" w:w="144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144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Exposición</w:t>
            </w:r>
          </w:p>
        </w:tc>
        <w:tc>
          <w:tcPr>
            <w:tcW w:type="dxa" w:w="144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1440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Respuesta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La arquitectura del prototipo .NET difiere de los modelos React/Laravel/MariaDB.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Materializado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Mantener explícito que .NET es el stack del prototipo; acordar si los diagramas representan el producto futuro antes de declarar cumplimiento integral.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R-02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EF Core InMemory pierde los datos al reiniciar y no reproduce el comportamiento de MariaDB.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Nuevo riesgo técnico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No usar la demo como persistencia real; añadir proveedor relacional y pruebas de integración si el alcance lo requiere.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R-03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El caso de uso de registro puede guardar cultivo sin inventario si falla la segunda escritura con una base relacional.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Nuevo riesgo técnico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Hacer ambas escrituras atómicas y probar rollback con proveedor relacional.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R-04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El prototipo solo expone registro y listado de cultivos; no demuestra cosechas, ventas, clientes ni autenticación de los modelos.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Brecha de alcance vigente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Priorizar historias del backlog y ampliar por módulo; no presentar la API actual como producto completo.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R-05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Sin pruebas de integración, los contratos HTTP y la configuración real de almacenamiento pueden romperse sin detección automática.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Nuevo riesgo técnico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Incorporar pruebas de API con servidor de prueba y almacenamiento adecuado cuando se definan los contratos.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R-06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Que un cambio se integre sin compilar o ejecutar pruebas.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Cerrado en el repo; Actions remoto por verificar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Existe workflow para push y pull request que restaura, compila y ejecuta pruebas. La ejecución local fue exitosa; verificar que el último run remoto esté verde antes de entregar.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R-07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El Modelo 2 (diagrama de clases) depende de un enlace externo de Google Drive; la pestaña local del SVG solo contiene una anotación.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Mitigado con enlace en el PDF; permisos por verificar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Confirmar acceso para los evaluadores y, si las reglas del curso lo permiten, guardar una copia fuente editable en docs/modelos/.</w:t>
            </w:r>
          </w:p>
        </w:tc>
      </w:tr>
    </w:tbl>
    <w:p/>
    <w:p>
      <w:r>
        <w:t xml:space="preserve">R-06 se considera cerrado respecto a la ausencia de automatización porque el workflow está versionado en </w:t>
      </w:r>
      <w:hyperlink r:id="rId30">
        <w:r>
          <w:rPr>
            <w:color w:val="176B55"/>
            <w:u w:val="single"/>
          </w:rPr>
          <w:t>CI</w:t>
        </w:r>
      </w:hyperlink>
      <w:r>
        <w:t>. No afirmo que otros riesgos históricos de semana 8 estén cerrados: falta su matriz fuente y no se consultó el resultado remoto de GitHub Actions.</w:t>
      </w:r>
    </w:p>
    <w:p>
      <w:r>
        <w:br w:type="page"/>
      </w:r>
    </w:p>
    <w:p>
      <w:pPr>
        <w:pStyle w:val="Heading1"/>
      </w:pPr>
      <w:r>
        <w:t>8. Tabla de trazabilidad</w:t>
      </w:r>
    </w:p>
    <w:p>
      <w:r>
        <w:t xml:space="preserve">Los IDs HU/AC de esta tabla son provisionales: el backlog oficial no está versionado en el repositorio. Los cinco SVG de </w:t>
      </w:r>
      <w:hyperlink r:id="rId47">
        <w:r>
          <w:rPr>
            <w:color w:val="176B55"/>
            <w:u w:val="single"/>
          </w:rPr>
          <w:t>docs/modelos</w:t>
        </w:r>
      </w:hyperlink>
      <w:r>
        <w:t xml:space="preserve"> incluyen pestañas con los nombres de los seis modelos, pero la pestaña "Diagrama de clases" local solo tiene una anotación. El Modelo 2 se enlaza desde </w:t>
      </w:r>
      <w:hyperlink r:id="rId12">
        <w:r>
          <w:rPr>
            <w:color w:val="176B55"/>
            <w:u w:val="single"/>
          </w:rPr>
          <w:t>Google Drive</w:t>
        </w:r>
      </w:hyperlink>
      <w:r>
        <w:t>; ábrelo con draw.io (diagrams.net). Antes de entregar, el equipo debe cotejar los IDs con su backlog y comprobar el acceso al enlace.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Historia / requisito</w:t>
            </w:r>
          </w:p>
        </w:tc>
        <w:tc>
          <w:tcPr>
            <w:tcW w:type="dxa" w:w="2016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Modelo donde aparece</w:t>
            </w:r>
          </w:p>
        </w:tc>
        <w:tc>
          <w:tcPr>
            <w:tcW w:type="dxa" w:w="2016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Prueba que lo verifica</w:t>
            </w:r>
          </w:p>
        </w:tc>
        <w:tc>
          <w:tcPr>
            <w:tcW w:type="dxa" w:w="2016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Módulo o archivo de código</w:t>
            </w:r>
          </w:p>
        </w:tc>
        <w:tc>
          <w:tcPr>
            <w:tcW w:type="dxa" w:w="2016"/>
            <w:vAlign w:val="top"/>
          </w:tcPr>
          <w:p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RF-01 / AC-01: registrar un cultivo con datos válidos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Modelo 2, diagrama de clases (Google Drive); modelo local de caso de uso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RegistrarAsync_ConDatosValidos_CreaCultivoConInventarioInicialEnCero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CultivosController, CultivoService, Cultivo, CultivoRequest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 en el prototipo; cotejar el vínculo del modelo con el backlog oficial.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RNF-06 / AC-02: rechazar nombre, tipo o lote vacío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El modelo de clases no está disponible visualmente; las fuentes incluyen solo una anotación en su pestaña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RegistrarAsync_ConCampoObligatorioVacio_NoRegistraDatos (3 casos)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CultivoService.RegistrarAsync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 y probado a nivel de servicio; relación con modelo pendiente.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RF-02 / AC-04: listar cultivos registrados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El modelo de clases no está disponible visualmente; el caso de uso disponible no representa explícitamente esta consulta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ListarAsync_DespuesDeRegistrarCultivos_DevuelveTodosLosRegistrados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GET /api/cultivos, CultivoService.ListarAsync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 y probado a nivel de servicio; relación con modelo pendiente.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RF-02 / AC-05: consultar un cultivo por identificador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El modelo de clases no está disponible visualmente; no aparece como flujo explícito en el caso de uso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ObtenerPorIdAsync_ConCultivoRegistrado_DevuelveElCultivo; ObtenerPorIdAsync_SinCoincidencia_DevuelveNull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GET /api/cultivos/{id}, CultivoService.ObtenerPorIdAsync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Implementado; respuesta HTTP comprobable manualmente, sin prueba automatizada del controlador.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RF-07 / AC-03: iniciar el inventario de un cultivo en cero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El modelo de clases no está disponible visualmente; la secuencia recibida trata ventas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RegistrarAsync_ConDatosValidos_CreaCultivoConInventarioInicialEnCero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CultivoService.RegistrarAsync, Inventario, AppDbContext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Implementado en el prototipo; difiere del trigger del SQL v2, que crea inventario al registrar cosecha.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RF-04: impedir eliminar cultivos con cosechas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El modelo de clases requerido no está disponible visualmente; script SQL v2 define FK y trigger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No existe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No hay entidad Cosecha ni endpoint de eliminación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Diseñado en SQL; no implementado ni probado en la API.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RF-16/RF-17: verificar stock y descontar inventario en una venta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Diagrama de caso de uso y secuencia; trigger en SQL v2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No existe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No hay módulos de Cliente o Venta en el prototipo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</w:r>
            <w:r>
              <w:rPr>
                <w:sz w:val="16"/>
              </w:rPr>
              <w:t>Diseñado en artefactos externos al prototipo; no implementado ni probado en la API.</w:t>
            </w:r>
          </w:p>
        </w:tc>
      </w:tr>
    </w:tbl>
    <w:p/>
    <w:p>
      <w:r>
        <w:t xml:space="preserve">Fuentes: </w:t>
      </w:r>
      <w:hyperlink r:id="rId48">
        <w:r>
          <w:rPr>
            <w:color w:val="176B55"/>
            <w:u w:val="single"/>
          </w:rPr>
          <w:t>plan de pruebas</w:t>
        </w:r>
      </w:hyperlink>
      <w:r>
        <w:t xml:space="preserve">, </w:t>
      </w:r>
      <w:hyperlink r:id="rId46">
        <w:r>
          <w:rPr>
            <w:color w:val="176B55"/>
            <w:u w:val="single"/>
          </w:rPr>
          <w:t>script de base de datos v2</w:t>
        </w:r>
      </w:hyperlink>
      <w:r>
        <w:t xml:space="preserve">, </w:t>
      </w:r>
      <w:hyperlink r:id="rId45">
        <w:r>
          <w:rPr>
            <w:color w:val="176B55"/>
            <w:u w:val="single"/>
          </w:rPr>
          <w:t>implementación de cultivos</w:t>
        </w:r>
      </w:hyperlink>
      <w:r>
        <w:t xml:space="preserve"> y </w:t>
      </w:r>
      <w:hyperlink r:id="rId31">
        <w:r>
          <w:rPr>
            <w:color w:val="176B55"/>
            <w:u w:val="single"/>
          </w:rPr>
          <w:t>pruebas</w:t>
        </w:r>
      </w:hyperlink>
      <w:r>
        <w:t>.</w:t>
      </w:r>
    </w:p>
    <w:p>
      <w:r>
        <w:br w:type="page"/>
      </w:r>
    </w:p>
    <w:p>
      <w:pPr>
        <w:pStyle w:val="Heading1"/>
      </w:pPr>
      <w:r>
        <w:t>9. Nota de uso de IA</w:t>
      </w:r>
    </w:p>
    <w:p>
      <w:pPr>
        <w:pStyle w:val="ListBullet"/>
      </w:pPr>
      <w:r>
        <w:t>Herramienta: GitHub Copilot en Visual Studio Code.</w:t>
      </w:r>
    </w:p>
    <w:p>
      <w:pPr>
        <w:pStyle w:val="ListBullet"/>
      </w:pPr>
      <w:r>
        <w:t>Uso: revisar el repositorio frente a los requisitos del taller; redactar borradores de ADR, matriz de stack, plan de pruebas, registro de deuda técnica, matriz de riesgos, trazabilidad y esta nota; ampliar pruebas unitarias y proponer e implementar una consulta de cultivos por identificador.</w:t>
      </w:r>
    </w:p>
    <w:p>
      <w:pPr>
        <w:pStyle w:val="ListBullet"/>
      </w:pPr>
      <w:r>
        <w:t>Contenido generado o modificado con asistencia de IA: documentación nueva en docs/, endpoint GET /api/cultivos/{id} y pruebas de validación/consulta individual.</w:t>
      </w:r>
    </w:p>
    <w:p>
      <w:pPr>
        <w:pStyle w:val="ListBullet"/>
      </w:pPr>
      <w:r>
        <w:t>Decisión aportada por el estudiante: conservar las herramientas y el stack existentes en el proyecto.</w:t>
      </w:r>
    </w:p>
    <w:p>
      <w:pPr>
        <w:pStyle w:val="ListBullet"/>
      </w:pPr>
      <w:r>
        <w:t>Revisión y cambios del equipo: a la fecha de esta nota, no se ha reportado una revisión o modificación adicional del equipo sobre los borradores. El equipo debe verificar los puntajes de familiaridad, estimaciones, IDs provisionales de historias, estados de riesgo y decisiones antes de presentar la entrega.</w:t>
      </w:r>
    </w:p>
    <w:p>
      <w:pPr>
        <w:pStyle w:val="ListBullet"/>
      </w:pPr>
      <w:r>
        <w:t>Fuentes humanas utilizadas: repositorio AgroStock compartido por el equipo, modelos draw.io y Requisitos entrega 2.pdf.</w:t>
      </w:r>
    </w:p>
    <w:p>
      <w:r>
        <w:t>La asistencia de IA no reemplaza la validación del equipo ni la correspondencia con el backlog y la matriz de riesgos originales del curso.</w:t>
      </w:r>
    </w:p>
    <w:p>
      <w:r>
        <w:br w:type="page"/>
      </w:r>
    </w:p>
    <w:p>
      <w:pPr>
        <w:pStyle w:val="Heading1"/>
      </w:pPr>
      <w:r>
        <w:t>10. Documento consolidado y fuentes</w:t>
      </w:r>
    </w:p>
    <w:p>
      <w:r>
        <w:t>Este archivo Word consolida los componentes de la entrega en formato editable. Para regenerarlo desde la raíz del repositorio:</w:t>
      </w:r>
    </w:p>
    <w:p>
      <w:r>
        <w:t>py -m pip install -r docs/requirements-word.txt</w:t>
        <w:br/>
        <w:t>py scripts/build_delivery_docx.py</w:t>
      </w:r>
    </w:p>
    <w:p>
      <w:r>
        <w:t>El Modelo 2 requiere acceso al enlace externo de Google Drive. Verifica que sus permisos permitan abrirlo.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766E"/>
        <w:sz w:val="16"/>
      </w:rPr>
      <w:t>AgroStock | Entrega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4A3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45B4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0554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amilogm1/Agrostock" TargetMode="External"/><Relationship Id="rId12" Type="http://schemas.openxmlformats.org/officeDocument/2006/relationships/hyperlink" Target="https://drive.google.com/file/d/1EtywC6Lw0LVnIORtykZYBzBQQKQpjeBf/view?usp=sharing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hyperlink" Target="../../README.md" TargetMode="External"/><Relationship Id="rId19" Type="http://schemas.openxmlformats.org/officeDocument/2006/relationships/hyperlink" Target="../../src/AgroStockTaller.Api/AgroStockTaller.Api.csproj" TargetMode="External"/><Relationship Id="rId20" Type="http://schemas.openxmlformats.org/officeDocument/2006/relationships/hyperlink" Target="../../src/AgroStockTaller.Api/Program.cs" TargetMode="External"/><Relationship Id="rId21" Type="http://schemas.openxmlformats.org/officeDocument/2006/relationships/hyperlink" Target="../../.github/workflows/ci.yml" TargetMode="External"/><Relationship Id="rId22" Type="http://schemas.openxmlformats.org/officeDocument/2006/relationships/hyperlink" Target="../../src/AgroStockTaller.Api/Controllers/CultivosController.cs" TargetMode="External"/><Relationship Id="rId23" Type="http://schemas.openxmlformats.org/officeDocument/2006/relationships/hyperlink" Target="../../src/AgroStockTaller.Api/Services/ICultivoService.cs" TargetMode="External"/><Relationship Id="rId24" Type="http://schemas.openxmlformats.org/officeDocument/2006/relationships/hyperlink" Target="../../src/AgroStockTaller.Api/Services/CultivoService.cs" TargetMode="External"/><Relationship Id="rId25" Type="http://schemas.openxmlformats.org/officeDocument/2006/relationships/hyperlink" Target="../../tests/AgroStockTaller.Tests/CultivoServiceTests.cs" TargetMode="External"/><Relationship Id="rId26" Type="http://schemas.openxmlformats.org/officeDocument/2006/relationships/hyperlink" Target="../../Base%20de%20datosV2.txt" TargetMode="External"/><Relationship Id="rId27" Type="http://schemas.openxmlformats.org/officeDocument/2006/relationships/hyperlink" Target="../README.md" TargetMode="External"/><Relationship Id="rId28" Type="http://schemas.openxmlformats.org/officeDocument/2006/relationships/hyperlink" Target="../src/AgroStockTaller.Api/AgroStockTaller.Api.csproj" TargetMode="External"/><Relationship Id="rId29" Type="http://schemas.openxmlformats.org/officeDocument/2006/relationships/hyperlink" Target="../tests/AgroStockTaller.Tests/AgroStockTaller.Tests.csproj" TargetMode="External"/><Relationship Id="rId30" Type="http://schemas.openxmlformats.org/officeDocument/2006/relationships/hyperlink" Target="../.github/workflows/ci.yml" TargetMode="External"/><Relationship Id="rId31" Type="http://schemas.openxmlformats.org/officeDocument/2006/relationships/hyperlink" Target="../tests/AgroStockTaller.Tests/CultivoServiceTests.cs" TargetMode="External"/><Relationship Id="rId32" Type="http://schemas.openxmlformats.org/officeDocument/2006/relationships/hyperlink" Target="https://github.com/Camilogm1/Agrostock/actions/workflows/ci.yml/badge.svg" TargetMode="External"/><Relationship Id="rId33" Type="http://schemas.openxmlformats.org/officeDocument/2006/relationships/hyperlink" Target="docs/adr/" TargetMode="External"/><Relationship Id="rId34" Type="http://schemas.openxmlformats.org/officeDocument/2006/relationships/hyperlink" Target="docs/matriz-decision-stack.md" TargetMode="External"/><Relationship Id="rId35" Type="http://schemas.openxmlformats.org/officeDocument/2006/relationships/hyperlink" Target="docs/plan-pruebas.md" TargetMode="External"/><Relationship Id="rId36" Type="http://schemas.openxmlformats.org/officeDocument/2006/relationships/hyperlink" Target="docs/deuda-tecnica.md" TargetMode="External"/><Relationship Id="rId37" Type="http://schemas.openxmlformats.org/officeDocument/2006/relationships/hyperlink" Target="docs/matriz-riesgos.md" TargetMode="External"/><Relationship Id="rId38" Type="http://schemas.openxmlformats.org/officeDocument/2006/relationships/hyperlink" Target="docs/trazabilidad.md" TargetMode="External"/><Relationship Id="rId39" Type="http://schemas.openxmlformats.org/officeDocument/2006/relationships/hyperlink" Target="docs/nota-uso-ia.md" TargetMode="External"/><Relationship Id="rId40" Type="http://schemas.openxmlformats.org/officeDocument/2006/relationships/hyperlink" Target="docs/modelos/" TargetMode="External"/><Relationship Id="rId41" Type="http://schemas.openxmlformats.org/officeDocument/2006/relationships/hyperlink" Target="docs/entrega-consolidada.pdf" TargetMode="External"/><Relationship Id="rId42" Type="http://schemas.openxmlformats.org/officeDocument/2006/relationships/hyperlink" Target="docs/entrega-consolidada.docx" TargetMode="External"/><Relationship Id="rId43" Type="http://schemas.openxmlformats.org/officeDocument/2006/relationships/hyperlink" Target="adr/0001-stack-del-prototipo.md" TargetMode="External"/><Relationship Id="rId44" Type="http://schemas.openxmlformats.org/officeDocument/2006/relationships/hyperlink" Target="adr/0003-inventario-inicial-en-cero.md" TargetMode="External"/><Relationship Id="rId45" Type="http://schemas.openxmlformats.org/officeDocument/2006/relationships/hyperlink" Target="../src/AgroStockTaller.Api/Services/CultivoService.cs" TargetMode="External"/><Relationship Id="rId46" Type="http://schemas.openxmlformats.org/officeDocument/2006/relationships/hyperlink" Target="../Base%20de%20datosV2.txt" TargetMode="External"/><Relationship Id="rId47" Type="http://schemas.openxmlformats.org/officeDocument/2006/relationships/hyperlink" Target="modelos/" TargetMode="External"/><Relationship Id="rId48" Type="http://schemas.openxmlformats.org/officeDocument/2006/relationships/hyperlink" Target="plan-prueba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AgroStock - Entrega 2</dc:title>
  <dc:subject/>
  <dc:creator>Equipo AgroStock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