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Caracterización de los Recursos Educativos Digitales Seleccionados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 han seleccionado dos RED con alta intencionalidad didáctica, estructurados para facilitar el aprendizaje de la lengua extranjera en contextos de educación pública.</w:t>
      </w:r>
    </w:p>
    <w:tbl>
      <w:tblPr>
        <w:tblStyle w:val="Tablaconcuadrcula5oscura-nfasis5"/>
        <w:tblW w:w="8818" w:type="dxa"/>
        <w:jc w:val="start"/>
        <w:tblInd w:w="-5" w:type="dxa"/>
        <w:shd w:fill="F2CEED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97"/>
        <w:gridCol w:w="3571"/>
        <w:gridCol w:w="325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Componente de Información</w:t>
            </w:r>
          </w:p>
        </w:tc>
        <w:tc>
          <w:tcPr>
            <w:tcW w:w="3571" w:type="dxa"/>
            <w:tcBorders>
              <w:top w:val="single" w:sz="4" w:space="0" w:color="000000"/>
              <w:start w:val="nil"/>
              <w:bottom w:val="nil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RED 1: LearnEnglish Teens</w:t>
            </w:r>
          </w:p>
        </w:tc>
        <w:tc>
          <w:tcPr>
            <w:tcW w:w="3250" w:type="dxa"/>
            <w:tcBorders>
              <w:top w:val="single" w:sz="4" w:space="0" w:color="000000"/>
              <w:start w:val="nil"/>
              <w:bottom w:val="nil"/>
              <w:end w:val="single" w:sz="12" w:space="0" w:color="156082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RED 2: ECO Teens (ECO Web 2.0)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Área de conocimiento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Lengua Extranjera: Inglés</w:t>
            </w:r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Lengua Extranjera: Inglés.</w:t>
            </w:r>
          </w:p>
        </w:tc>
      </w:tr>
      <w:tr>
        <w:trPr/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Nivel o grado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Educación Secundaria y Media (Niveles MCER A1-B2).</w:t>
            </w:r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Educación Básica Secundaria y Media (Grados 6° a 11°).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Autor(es)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British Council.</w:t>
            </w:r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Ministerio de Educación Nacional y British Council.</w:t>
            </w:r>
          </w:p>
        </w:tc>
      </w:tr>
      <w:tr>
        <w:trPr/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Enlace al repositorio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2" w:tgtFrame="_blank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es-CO" w:eastAsia="en-US" w:bidi="ar-SA"/>
                </w:rPr>
                <w:t>British Council Teens</w:t>
              </w:r>
            </w:hyperlink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3" w:tgtFrame="_blank">
              <w:r>
                <w:rPr>
                  <w:rStyle w:val="Hyperlink"/>
                  <w:rFonts w:eastAsia="Aptos" w:cs="Times New Roman" w:ascii="Times New Roman" w:hAnsi="Times New Roman"/>
                  <w:kern w:val="2"/>
                  <w:sz w:val="24"/>
                  <w:szCs w:val="24"/>
                  <w:lang w:val="es-CO" w:eastAsia="en-US" w:bidi="ar-SA"/>
                </w:rPr>
                <w:t>ECO Web 2.0 - Colombia Aprende</w:t>
              </w:r>
            </w:hyperlink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Descripción del RED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Plataforma multimodal que integra el desarrollo de las cuatro habilidades lingüísticas mediante contenidos auténticos para adolescentes.</w:t>
            </w:r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Propuesta transmedia colombiana basada en cápsulas radiales, videos y guías pedagógicas orientadas al bilingüismo.</w:t>
            </w:r>
          </w:p>
        </w:tc>
      </w:tr>
      <w:tr>
        <w:trPr/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Características y uso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 xml:space="preserve">Diseño modular que permite la práctica independiente de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4"/>
                <w:szCs w:val="24"/>
                <w:lang w:val="es-CO" w:eastAsia="en-US" w:bidi="ar-SA"/>
              </w:rPr>
              <w:t>reading, writing, listening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 xml:space="preserve"> y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4"/>
                <w:szCs w:val="24"/>
                <w:lang w:val="es-CO" w:eastAsia="en-US" w:bidi="ar-SA"/>
              </w:rPr>
              <w:t>speaking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.</w:t>
            </w:r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 xml:space="preserve">Estructura basada en secciones de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4"/>
                <w:szCs w:val="24"/>
                <w:lang w:val="es-CO" w:eastAsia="en-US" w:bidi="ar-SA"/>
              </w:rPr>
              <w:t>Ready, Steady, Go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 xml:space="preserve"> que fomentan la autonomía y el proyecto de vida.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Limitaciones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Dependencia de conectividad de alta banda para la reproducción de material audiovisual en tiempo real.</w:t>
            </w:r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59EDC" w:themeFill="accent5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Requiere la mediación docente para la descarga previa de materiales en zonas con baja conectividad.</w:t>
            </w:r>
          </w:p>
        </w:tc>
      </w:tr>
      <w:tr>
        <w:trPr/>
        <w:tc>
          <w:tcPr>
            <w:tcW w:w="199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bottom w:val="single" w:sz="4" w:space="0" w:color="000000"/>
              <w:end w:val="nil"/>
            </w:tcBorders>
            <w:shd w:color="auto" w:fill="A02B93" w:themeFill="accent5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Verificación de estándares</w:t>
            </w:r>
          </w:p>
        </w:tc>
        <w:tc>
          <w:tcPr>
            <w:tcW w:w="3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Alineación estricta con el Marco Común Europeo de Referencia (MCER).</w:t>
            </w:r>
          </w:p>
        </w:tc>
        <w:tc>
          <w:tcPr>
            <w:tcW w:w="3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CEED" w:themeFill="accent5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Cumplimiento de los Derechos Básicos de Aprendizaje (DBA) y el Currículo Sugerido de Inglés.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Revisión de Modelos de Evaluación de Calidad de RED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 analizan seis modelos de evaluación de calidad, destacando sus métricas e instrumentos específicos.</w:t>
      </w:r>
    </w:p>
    <w:tbl>
      <w:tblPr>
        <w:tblStyle w:val="Tablaconcuadrcula5oscura-nfasis1"/>
        <w:tblW w:w="8828" w:type="dxa"/>
        <w:jc w:val="start"/>
        <w:tblInd w:w="-5" w:type="dxa"/>
        <w:shd w:fill="C1E4F5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22"/>
        <w:gridCol w:w="2677"/>
        <w:gridCol w:w="2343"/>
        <w:gridCol w:w="248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Modelo</w:t>
            </w:r>
          </w:p>
        </w:tc>
        <w:tc>
          <w:tcPr>
            <w:tcW w:w="2677" w:type="dxa"/>
            <w:tcBorders>
              <w:top w:val="single" w:sz="4" w:space="0" w:color="000000"/>
              <w:start w:val="nil"/>
              <w:bottom w:val="nil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Descripción y Metodología</w:t>
            </w:r>
          </w:p>
        </w:tc>
        <w:tc>
          <w:tcPr>
            <w:tcW w:w="2343" w:type="dxa"/>
            <w:tcBorders>
              <w:top w:val="single" w:sz="4" w:space="0" w:color="000000"/>
              <w:start w:val="nil"/>
              <w:bottom w:val="nil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Criterios y Métrica</w:t>
            </w:r>
          </w:p>
        </w:tc>
        <w:tc>
          <w:tcPr>
            <w:tcW w:w="2486" w:type="dxa"/>
            <w:tcBorders>
              <w:top w:val="single" w:sz="4" w:space="0" w:color="000000"/>
              <w:start w:val="nil"/>
              <w:bottom w:val="nil"/>
              <w:end w:val="single" w:sz="4" w:space="0" w:color="000000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Instrumento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COdA (v1.1)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Dirigido a docentes como usuarios y evaluadores de OA. Permite autoevaluación o revisión por pares.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10 criterios (5 didácticos, 5 tecnológicos) con escala del 1 al 5.</w:t>
            </w:r>
          </w:p>
        </w:tc>
        <w:tc>
          <w:tcPr>
            <w:tcW w:w="2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Formulario de diez criterios con subcriterios específicos.</w:t>
            </w:r>
          </w:p>
        </w:tc>
      </w:tr>
      <w:tr>
        <w:trPr/>
        <w:tc>
          <w:tcPr>
            <w:tcW w:w="13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LORI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Marco de evaluación estándar para objetos de aprendizaje basado en nueve dimensiones de calidad.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Evaluación sistemática de variables de usabilidad y pedagogía en escala 1-5.</w:t>
            </w:r>
          </w:p>
        </w:tc>
        <w:tc>
          <w:tcPr>
            <w:tcW w:w="2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Plantilla de evaluación de 9 ítems con manual de usuario.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HEODAR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Extensión del modelo LORI que profundiza en la dimensión psicopedagógica del usuario.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Valora capacidad de motivación, creatividad, interactividad y diseño de interfaz.</w:t>
            </w:r>
          </w:p>
        </w:tc>
        <w:tc>
          <w:tcPr>
            <w:tcW w:w="2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Guía de criterios psicopedagógicos y técnicos.</w:t>
            </w:r>
          </w:p>
        </w:tc>
      </w:tr>
      <w:tr>
        <w:trPr/>
        <w:tc>
          <w:tcPr>
            <w:tcW w:w="13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Galvis (MEC)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Tratamiento sistémico para la toma de decisiones sobre software educativo basado en viabilidad.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Calidad educativa, calidad computacional y viabilidad técnica-financiera.</w:t>
            </w:r>
          </w:p>
        </w:tc>
        <w:tc>
          <w:tcPr>
            <w:tcW w:w="2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Cuestionarios de calidad y encuestas de opinión para expertos y alumnos.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Escala Barroso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Valoración sistemática que facilita la adquisición y uso de software tras su implementación real.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Identificación, valoración de elementos y relaciones contexto-entrada-proceso (1-10).</w:t>
            </w:r>
          </w:p>
        </w:tc>
        <w:tc>
          <w:tcPr>
            <w:tcW w:w="2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83CAEB" w:themeFill="accent1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Lista de control y esquema-guion para informe de evaluación.</w:t>
            </w:r>
          </w:p>
        </w:tc>
      </w:tr>
      <w:tr>
        <w:trPr/>
        <w:tc>
          <w:tcPr>
            <w:tcW w:w="132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bottom w:val="single" w:sz="4" w:space="0" w:color="000000"/>
              <w:end w:val="nil"/>
            </w:tcBorders>
            <w:shd w:color="auto" w:fill="156082" w:themeFill="accent1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EVALÚA</w:t>
            </w:r>
          </w:p>
        </w:tc>
        <w:tc>
          <w:tcPr>
            <w:tcW w:w="2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Instrumento enfocado en la atención a la diversidad y necesidades educativas especiales.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Aspectos curriculares, pedagógicos y técnico-estéticos en escala de 1 a 5 estrellas.</w:t>
            </w:r>
          </w:p>
        </w:tc>
        <w:tc>
          <w:tcPr>
            <w:tcW w:w="2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1E4F5" w:themeFill="accent1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Ficha de evaluación de software con enfoque inclusivo.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Selección y Aplicación de Instrumentos de Evaluación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 seleccionan los modelos </w:t>
      </w:r>
      <w:r>
        <w:rPr>
          <w:rFonts w:cs="Times New Roman" w:ascii="Times New Roman" w:hAnsi="Times New Roman"/>
          <w:b/>
          <w:bCs/>
        </w:rPr>
        <w:t>COdA, LORI y EVALÚA</w:t>
      </w:r>
      <w:r>
        <w:rPr>
          <w:rFonts w:cs="Times New Roman" w:ascii="Times New Roman" w:hAnsi="Times New Roman"/>
        </w:rPr>
        <w:t xml:space="preserve"> para su aplicación. A continuación, se presenta la rúbrica detallada siguiendo los descriptores del modelo </w:t>
      </w:r>
      <w:r>
        <w:rPr>
          <w:rFonts w:cs="Times New Roman" w:ascii="Times New Roman" w:hAnsi="Times New Roman"/>
          <w:b/>
          <w:bCs/>
        </w:rPr>
        <w:t>COdA versión 2013</w:t>
      </w:r>
      <w:r>
        <w:rPr>
          <w:rFonts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Aplicación del Instrumento COdA (Rúbrica MED 2013)</w:t>
      </w:r>
    </w:p>
    <w:tbl>
      <w:tblPr>
        <w:tblStyle w:val="Tablaconcuadrcula5oscura-nfasis2"/>
        <w:tblW w:w="8828" w:type="dxa"/>
        <w:jc w:val="start"/>
        <w:tblInd w:w="-5" w:type="dxa"/>
        <w:shd w:fill="FAE2D5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72"/>
        <w:gridCol w:w="1880"/>
        <w:gridCol w:w="1047"/>
        <w:gridCol w:w="372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7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Criterio de Evaluación</w:t>
            </w:r>
          </w:p>
        </w:tc>
        <w:tc>
          <w:tcPr>
            <w:tcW w:w="1880" w:type="dxa"/>
            <w:tcBorders>
              <w:top w:val="single" w:sz="4" w:space="0" w:color="000000"/>
              <w:start w:val="nil"/>
              <w:bottom w:val="nil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RED 1: LearnEnglish Teens</w:t>
            </w:r>
          </w:p>
        </w:tc>
        <w:tc>
          <w:tcPr>
            <w:tcW w:w="1047" w:type="dxa"/>
            <w:tcBorders>
              <w:top w:val="single" w:sz="4" w:space="0" w:color="000000"/>
              <w:start w:val="nil"/>
              <w:bottom w:val="nil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RED 2: ECO Teens</w:t>
            </w:r>
          </w:p>
        </w:tc>
        <w:tc>
          <w:tcPr>
            <w:tcW w:w="3729" w:type="dxa"/>
            <w:tcBorders>
              <w:top w:val="single" w:sz="4" w:space="0" w:color="000000"/>
              <w:start w:val="nil"/>
              <w:bottom w:val="nil"/>
              <w:end w:val="single" w:sz="4" w:space="0" w:color="000000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Justificación Técnica según Descriptores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7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1. Objetivos y coherencia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3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Ambos presentan objetivos claros, contenidos apropiados y sugerencias de explotación para docente y alumno.</w:t>
            </w:r>
          </w:p>
        </w:tc>
      </w:tr>
      <w:tr>
        <w:trPr/>
        <w:tc>
          <w:tcPr>
            <w:tcW w:w="217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2. Calidad de contenidos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3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Contenidos equilibrados, actualizados, objetivos y respetuosos de la propiedad intelectual.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7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4. Interactividad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4</w:t>
            </w:r>
          </w:p>
        </w:tc>
        <w:tc>
          <w:tcPr>
            <w:tcW w:w="3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RED 1 permite control total del aprendizaje según respuesta (Nivel 5). RED 2 es interactivo pero con estructura más lineal (Nivel 4).</w:t>
            </w:r>
          </w:p>
        </w:tc>
      </w:tr>
      <w:tr>
        <w:trPr/>
        <w:tc>
          <w:tcPr>
            <w:tcW w:w="217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5. Motivación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3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Emplean procedimientos didácticos innovadores y contenidos relevantes para el entorno social del alumno.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7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7. Usabilidad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3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6C5AC" w:themeFill="accent2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Interfaz intuitiva con navegación fácil y enlaces funcionales en su totalidad.</w:t>
            </w:r>
          </w:p>
        </w:tc>
      </w:tr>
      <w:tr>
        <w:trPr/>
        <w:tc>
          <w:tcPr>
            <w:tcW w:w="217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start w:val="single" w:sz="4" w:space="0" w:color="000000"/>
              <w:bottom w:val="single" w:sz="4" w:space="0" w:color="000000"/>
              <w:end w:val="nil"/>
            </w:tcBorders>
            <w:shd w:color="auto" w:fill="E97132" w:themeFill="accent2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10. Interoperabilidad</w:t>
            </w:r>
          </w:p>
        </w:tc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4</w:t>
            </w:r>
          </w:p>
        </w:tc>
        <w:tc>
          <w:tcPr>
            <w:tcW w:w="1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s-CO" w:eastAsia="en-US" w:bidi="ar-SA"/>
              </w:rPr>
              <w:t>5</w:t>
            </w:r>
          </w:p>
        </w:tc>
        <w:tc>
          <w:tcPr>
            <w:tcW w:w="37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AE2D5" w:themeFill="accent2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s-CO" w:eastAsia="en-US" w:bidi="ar-SA"/>
              </w:rPr>
              <w:t>RED 2 es superior al ofrecer paquetes de contenido (PDF/MP3) para exportación e importación masiva.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Comparativa de Pros y Contras de los Modelos Aplicados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Modelo COdA (Rúbrica 2013):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</w:rPr>
        <w:t>Ventajas:</w:t>
      </w:r>
      <w:r>
        <w:rPr>
          <w:rFonts w:cs="Times New Roman" w:ascii="Times New Roman" w:hAnsi="Times New Roman"/>
        </w:rPr>
        <w:t xml:space="preserve"> Los descriptores de nivel reducen la subjetividad y permiten una evaluación precisa de la accesibilidad y la interoperabilidad técnica.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</w:rPr>
        <w:t>Desventajas:</w:t>
      </w:r>
      <w:r>
        <w:rPr>
          <w:rFonts w:cs="Times New Roman" w:ascii="Times New Roman" w:hAnsi="Times New Roman"/>
        </w:rPr>
        <w:t xml:space="preserve"> La verificación exhaustiva de los 22 puntos de la tabla de accesibilidad requiere una inversión de tiempo considerable.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Modelo LORI: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</w:rPr>
        <w:t>Ventajas:</w:t>
      </w:r>
      <w:r>
        <w:rPr>
          <w:rFonts w:cs="Times New Roman" w:ascii="Times New Roman" w:hAnsi="Times New Roman"/>
        </w:rPr>
        <w:t xml:space="preserve"> Su estructura es concisa y permite una comparación rápida entre múltiples recursos bajo un estándar internacional.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</w:rPr>
        <w:t>Desventajas:</w:t>
      </w:r>
      <w:r>
        <w:rPr>
          <w:rFonts w:cs="Times New Roman" w:ascii="Times New Roman" w:hAnsi="Times New Roman"/>
        </w:rPr>
        <w:t xml:space="preserve"> Carece de la profundidad técnica que ofrece COdA en cuanto a formatos de archivo y metadatos detallados.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Pertinencia en el Contexto del Colegio Diego Rengifo Salazar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Tras el análisis, se determina que el </w:t>
      </w:r>
      <w:r>
        <w:rPr>
          <w:rFonts w:cs="Times New Roman" w:ascii="Times New Roman" w:hAnsi="Times New Roman"/>
          <w:b/>
          <w:bCs/>
        </w:rPr>
        <w:t>Modelo COdA (Rúbrica 2013)</w:t>
      </w:r>
      <w:r>
        <w:rPr>
          <w:rFonts w:cs="Times New Roman" w:ascii="Times New Roman" w:hAnsi="Times New Roman"/>
        </w:rPr>
        <w:t xml:space="preserve"> es el más pertinente para su adaptación en la institución educativa Diego Rengifo Salazar. Esta decisión se fundamenta en los siguientes puntos: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Enfoque en Interoperabilidad (Criterio 10):</w:t>
      </w:r>
      <w:r>
        <w:rPr>
          <w:rFonts w:cs="Times New Roman" w:ascii="Times New Roman" w:hAnsi="Times New Roman"/>
        </w:rPr>
        <w:t xml:space="preserve"> En un contexto de colegio público con conectividad variable, es imperativo evaluar si los recursos permiten la descarga de paquetes de contenido para su uso sin conexión a internet.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Calidad Didáctica sobre Técnica:</w:t>
      </w:r>
      <w:r>
        <w:rPr>
          <w:rFonts w:cs="Times New Roman" w:ascii="Times New Roman" w:hAnsi="Times New Roman"/>
        </w:rPr>
        <w:t xml:space="preserve"> El modelo garantiza que la tecnología sea un vehículo para alcanzar los objetivos de competencia comunicativa en inglés, priorizando la veracidad y actualización de los contenidos.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Accesibilidad Básica:</w:t>
      </w:r>
      <w:r>
        <w:rPr>
          <w:rFonts w:cs="Times New Roman" w:ascii="Times New Roman" w:hAnsi="Times New Roman"/>
        </w:rPr>
        <w:t xml:space="preserve"> La inclusión de una tabla de verificación de accesibilidad permite asegurar que el material sea usable por toda la población estudiantil, independientemente de sus capacidades técnicas o físicas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4f08f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4f08f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f08f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f08f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f08f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f08f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f08f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f08f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f08f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4f08f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4f08f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4f08f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4f08f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4f08f9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4f08f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4f08f9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4f08f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4f08f9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4f08f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4f08f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f08f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08f9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f08f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f08f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2d365a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d365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2d365a"/>
    <w:rPr>
      <w:color w:themeColor="followedHyperlink" w:val="96607D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4f08f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4f08f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4f08f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08f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4f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5oscura-nfasis6">
    <w:name w:val="Grid Table 5 Dark Accent 6"/>
    <w:basedOn w:val="Tablanormal"/>
    <w:uiPriority w:val="50"/>
    <w:rsid w:val="0080624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0624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0624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a370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url?sa=E&amp;q=https%3A%2F%2Flearnenglishteens.britishcouncil.org%2F" TargetMode="External"/><Relationship Id="rId3" Type="http://schemas.openxmlformats.org/officeDocument/2006/relationships/hyperlink" Target="https://www.google.com/url?sa=E&amp;q=https%3A%2F%2Feco.colombiaaprende.edu.co%2F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DFBA9-7DFE-46C2-BDBE-39F596AEA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Application>LibreOffice/25.8.5.2$Linux_X86_64 LibreOffice_project/580$Build-2</Application>
  <AppVersion>15.0000</AppVersion>
  <Pages>2</Pages>
  <Words>854</Words>
  <Characters>5097</Characters>
  <CharactersWithSpaces>5840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2026-05-10T16:44:00Z</dcterms:created>
  <dc:creator>Luis Alfonso Arce Ramírez</dc:creator>
  <dc:description/>
  <dc:language>es-ES</dc:language>
  <cp:lastModifiedBy>Luis Alfonso Arce Ramírez</cp:lastModifiedBy>
  <dcterms:modified xsi:type="dcterms:W3CDTF">2026-05-11T04:07:00Z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