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E6AF" w14:textId="77777777" w:rsidR="00EC5E1A" w:rsidRDefault="00000000">
      <w:pPr>
        <w:pStyle w:val="Heading1"/>
      </w:pPr>
      <w:r>
        <w:t>HELOC Approval Timeline – Industry Benchmark Summary</w:t>
      </w:r>
    </w:p>
    <w:p w14:paraId="42F7B964" w14:textId="77777777" w:rsidR="00EC5E1A" w:rsidRDefault="00000000">
      <w:pPr>
        <w:pStyle w:val="Heading2"/>
      </w:pPr>
      <w:r>
        <w:t>Overview</w:t>
      </w:r>
    </w:p>
    <w:p w14:paraId="349007DF" w14:textId="77777777" w:rsidR="00EC5E1A" w:rsidRDefault="00000000">
      <w:r>
        <w:t>This document summarizes current Home Equity Line of Credit (HELOC) approval timeline benchmarks as reported by major financial institutions and industry publications. These benchmarks help establish a realistic industry baseline for traditional HELOC processing timelines.</w:t>
      </w:r>
    </w:p>
    <w:p w14:paraId="148AC7FC" w14:textId="77777777" w:rsidR="00EC5E1A" w:rsidRDefault="00000000">
      <w:pPr>
        <w:pStyle w:val="Heading2"/>
      </w:pPr>
      <w:r>
        <w:t>1. Industry Timeline Benchmarks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5E1A" w14:paraId="5F905FEE" w14:textId="77777777">
        <w:trPr>
          <w:jc w:val="center"/>
        </w:trPr>
        <w:tc>
          <w:tcPr>
            <w:tcW w:w="2880" w:type="dxa"/>
          </w:tcPr>
          <w:p w14:paraId="2B26DD73" w14:textId="77777777" w:rsidR="00EC5E1A" w:rsidRDefault="00000000">
            <w:r>
              <w:t>Source</w:t>
            </w:r>
          </w:p>
        </w:tc>
        <w:tc>
          <w:tcPr>
            <w:tcW w:w="2880" w:type="dxa"/>
          </w:tcPr>
          <w:p w14:paraId="0D0A4286" w14:textId="77777777" w:rsidR="00EC5E1A" w:rsidRDefault="00000000">
            <w:r>
              <w:t>Reported Timeline</w:t>
            </w:r>
          </w:p>
        </w:tc>
        <w:tc>
          <w:tcPr>
            <w:tcW w:w="2880" w:type="dxa"/>
          </w:tcPr>
          <w:p w14:paraId="5DA6B591" w14:textId="77777777" w:rsidR="00EC5E1A" w:rsidRDefault="00000000">
            <w:r>
              <w:t>Notes</w:t>
            </w:r>
          </w:p>
        </w:tc>
      </w:tr>
      <w:tr w:rsidR="00EC5E1A" w14:paraId="23672BC2" w14:textId="77777777">
        <w:trPr>
          <w:jc w:val="center"/>
        </w:trPr>
        <w:tc>
          <w:tcPr>
            <w:tcW w:w="2880" w:type="dxa"/>
          </w:tcPr>
          <w:p w14:paraId="40BD08A6" w14:textId="77777777" w:rsidR="00EC5E1A" w:rsidRDefault="00000000">
            <w:r>
              <w:t>Chase (JPMorgan Chase)</w:t>
            </w:r>
          </w:p>
        </w:tc>
        <w:tc>
          <w:tcPr>
            <w:tcW w:w="2880" w:type="dxa"/>
          </w:tcPr>
          <w:p w14:paraId="2F01A451" w14:textId="77777777" w:rsidR="00EC5E1A" w:rsidRDefault="00000000">
            <w:r>
              <w:t>2–6 weeks (~14–42 days)</w:t>
            </w:r>
          </w:p>
        </w:tc>
        <w:tc>
          <w:tcPr>
            <w:tcW w:w="2880" w:type="dxa"/>
          </w:tcPr>
          <w:p w14:paraId="6D09935C" w14:textId="77777777" w:rsidR="00EC5E1A" w:rsidRDefault="00000000">
            <w:r>
              <w:t>Typical range from application to funding.</w:t>
            </w:r>
          </w:p>
        </w:tc>
      </w:tr>
      <w:tr w:rsidR="00EC5E1A" w14:paraId="414CB257" w14:textId="77777777">
        <w:trPr>
          <w:jc w:val="center"/>
        </w:trPr>
        <w:tc>
          <w:tcPr>
            <w:tcW w:w="2880" w:type="dxa"/>
          </w:tcPr>
          <w:p w14:paraId="48066434" w14:textId="77777777" w:rsidR="00EC5E1A" w:rsidRDefault="00000000">
            <w:r>
              <w:t>CBS News</w:t>
            </w:r>
          </w:p>
        </w:tc>
        <w:tc>
          <w:tcPr>
            <w:tcW w:w="2880" w:type="dxa"/>
          </w:tcPr>
          <w:p w14:paraId="383EF79B" w14:textId="77777777" w:rsidR="00EC5E1A" w:rsidRDefault="00000000">
            <w:r>
              <w:t>~30 days</w:t>
            </w:r>
          </w:p>
        </w:tc>
        <w:tc>
          <w:tcPr>
            <w:tcW w:w="2880" w:type="dxa"/>
          </w:tcPr>
          <w:p w14:paraId="62ADD18B" w14:textId="77777777" w:rsidR="00EC5E1A" w:rsidRDefault="00000000">
            <w:r>
              <w:t>Representative median timeline when documentation is complete.</w:t>
            </w:r>
          </w:p>
        </w:tc>
      </w:tr>
      <w:tr w:rsidR="00EC5E1A" w14:paraId="5B010044" w14:textId="77777777">
        <w:trPr>
          <w:jc w:val="center"/>
        </w:trPr>
        <w:tc>
          <w:tcPr>
            <w:tcW w:w="2880" w:type="dxa"/>
          </w:tcPr>
          <w:p w14:paraId="36627C36" w14:textId="77777777" w:rsidR="00EC5E1A" w:rsidRDefault="00000000">
            <w:r>
              <w:t>SoFi</w:t>
            </w:r>
          </w:p>
        </w:tc>
        <w:tc>
          <w:tcPr>
            <w:tcW w:w="2880" w:type="dxa"/>
          </w:tcPr>
          <w:p w14:paraId="7B43FDD4" w14:textId="77777777" w:rsidR="00EC5E1A" w:rsidRDefault="00000000">
            <w:r>
              <w:t>2–6 weeks (~14–42 days)</w:t>
            </w:r>
          </w:p>
        </w:tc>
        <w:tc>
          <w:tcPr>
            <w:tcW w:w="2880" w:type="dxa"/>
          </w:tcPr>
          <w:p w14:paraId="7A6DA287" w14:textId="77777777" w:rsidR="00EC5E1A" w:rsidRDefault="00000000">
            <w:r>
              <w:t>Includes underwriting + funding for tech-enabled lenders.</w:t>
            </w:r>
          </w:p>
        </w:tc>
      </w:tr>
      <w:tr w:rsidR="00EC5E1A" w14:paraId="4E83C104" w14:textId="77777777">
        <w:trPr>
          <w:jc w:val="center"/>
        </w:trPr>
        <w:tc>
          <w:tcPr>
            <w:tcW w:w="2880" w:type="dxa"/>
          </w:tcPr>
          <w:p w14:paraId="507407D8" w14:textId="77777777" w:rsidR="00EC5E1A" w:rsidRDefault="00000000">
            <w:r>
              <w:t>Point.com</w:t>
            </w:r>
          </w:p>
        </w:tc>
        <w:tc>
          <w:tcPr>
            <w:tcW w:w="2880" w:type="dxa"/>
          </w:tcPr>
          <w:p w14:paraId="0E5DCCD4" w14:textId="77777777" w:rsidR="00EC5E1A" w:rsidRDefault="00000000">
            <w:r>
              <w:t>2–6 weeks (~14–42 days)</w:t>
            </w:r>
          </w:p>
        </w:tc>
        <w:tc>
          <w:tcPr>
            <w:tcW w:w="2880" w:type="dxa"/>
          </w:tcPr>
          <w:p w14:paraId="3F878EF2" w14:textId="77777777" w:rsidR="00EC5E1A" w:rsidRDefault="00000000">
            <w:r>
              <w:t>Includes appraisal and closing steps.</w:t>
            </w:r>
          </w:p>
        </w:tc>
      </w:tr>
      <w:tr w:rsidR="00EC5E1A" w14:paraId="3D019E94" w14:textId="77777777">
        <w:trPr>
          <w:jc w:val="center"/>
        </w:trPr>
        <w:tc>
          <w:tcPr>
            <w:tcW w:w="2880" w:type="dxa"/>
          </w:tcPr>
          <w:p w14:paraId="2F908DE5" w14:textId="77777777" w:rsidR="00EC5E1A" w:rsidRDefault="00000000">
            <w:r>
              <w:t>Rate.com (Traditional)</w:t>
            </w:r>
          </w:p>
        </w:tc>
        <w:tc>
          <w:tcPr>
            <w:tcW w:w="2880" w:type="dxa"/>
          </w:tcPr>
          <w:p w14:paraId="57A0630E" w14:textId="77777777" w:rsidR="00EC5E1A" w:rsidRDefault="00000000">
            <w:r>
              <w:t>~45–60 days</w:t>
            </w:r>
          </w:p>
        </w:tc>
        <w:tc>
          <w:tcPr>
            <w:tcW w:w="2880" w:type="dxa"/>
          </w:tcPr>
          <w:p w14:paraId="3F04FA42" w14:textId="77777777" w:rsidR="00EC5E1A" w:rsidRDefault="00000000">
            <w:r>
              <w:t>Traditional lenders may extend to 60 days.</w:t>
            </w:r>
          </w:p>
        </w:tc>
      </w:tr>
      <w:tr w:rsidR="00EC5E1A" w14:paraId="23DDA206" w14:textId="77777777">
        <w:trPr>
          <w:jc w:val="center"/>
        </w:trPr>
        <w:tc>
          <w:tcPr>
            <w:tcW w:w="2880" w:type="dxa"/>
          </w:tcPr>
          <w:p w14:paraId="022D5D20" w14:textId="77777777" w:rsidR="00EC5E1A" w:rsidRDefault="00000000">
            <w:r>
              <w:t>Allegiance Credit Union</w:t>
            </w:r>
          </w:p>
        </w:tc>
        <w:tc>
          <w:tcPr>
            <w:tcW w:w="2880" w:type="dxa"/>
          </w:tcPr>
          <w:p w14:paraId="215A416F" w14:textId="77777777" w:rsidR="00EC5E1A" w:rsidRDefault="00000000">
            <w:r>
              <w:t>~30–45 days</w:t>
            </w:r>
          </w:p>
        </w:tc>
        <w:tc>
          <w:tcPr>
            <w:tcW w:w="2880" w:type="dxa"/>
          </w:tcPr>
          <w:p w14:paraId="1E8D0AA2" w14:textId="77777777" w:rsidR="00EC5E1A" w:rsidRDefault="00000000">
            <w:r>
              <w:t>Includes standard underwriting and documentation.</w:t>
            </w:r>
          </w:p>
        </w:tc>
      </w:tr>
    </w:tbl>
    <w:p w14:paraId="089D8A5D" w14:textId="77777777" w:rsidR="00EC5E1A" w:rsidRDefault="00000000">
      <w:pPr>
        <w:pStyle w:val="Heading2"/>
      </w:pPr>
      <w:r>
        <w:t>2. Quantified Industry Average</w:t>
      </w:r>
    </w:p>
    <w:p w14:paraId="1ED1BE85" w14:textId="77777777" w:rsidR="00EC5E1A" w:rsidRDefault="00000000">
      <w:r>
        <w:t>Lower-bound average: 24.5 days</w:t>
      </w:r>
      <w:r>
        <w:br/>
        <w:t>Upper-bound average: 43.5 days</w:t>
      </w:r>
      <w:r>
        <w:br/>
      </w:r>
      <w:r>
        <w:br/>
        <w:t>Strategic benchmark range: ~30–45 days</w:t>
      </w:r>
    </w:p>
    <w:p w14:paraId="6F86B8A6" w14:textId="77777777" w:rsidR="00EC5E1A" w:rsidRDefault="00000000">
      <w:pPr>
        <w:pStyle w:val="Heading2"/>
      </w:pPr>
      <w:r>
        <w:t>3. Strategic Implications for Homelend AI</w:t>
      </w:r>
    </w:p>
    <w:p w14:paraId="1E66AB52" w14:textId="77777777" w:rsidR="00EC5E1A" w:rsidRDefault="00000000">
      <w:r>
        <w:t>1. Clear Market Gap: The prevailing industry approval window of ~30–45 days creates a measurable opportunity for AI-driven acceleration.</w:t>
      </w:r>
      <w:r>
        <w:br/>
      </w:r>
      <w:r>
        <w:br/>
        <w:t xml:space="preserve">2. Competitive Positioning: Homelend AI can position itself as a platform that reduces </w:t>
      </w:r>
      <w:r>
        <w:lastRenderedPageBreak/>
        <w:t>approval timelines from weeks to minutes for decisioning and 24–48 hours for funding readiness.</w:t>
      </w:r>
      <w:r>
        <w:br/>
      </w:r>
      <w:r>
        <w:br/>
        <w:t>3. Root Cause Focus: Traditional bottlenecks include manual underwriting, appraisals, documentation verification, and compliance reviews — all of which can be optimized through automation, API integrations, and AI-based risk modeling.</w:t>
      </w:r>
      <w:r>
        <w:br/>
      </w:r>
      <w:r>
        <w:br/>
        <w:t>4. Investor Narrative: Quantifying the 30–45 day benchmark provides a credible reference point when articulating speed advantages to venture capitalists and strategic banking partners.</w:t>
      </w:r>
      <w:r>
        <w:br/>
      </w:r>
      <w:r>
        <w:br/>
        <w:t>5. Strategic Wedge: By targeting timeline compression first, Homelend AI establishes a defensible wedge in the HELOC market before expanding into embedded finance, wallet functionality, and AI licensing.</w:t>
      </w:r>
    </w:p>
    <w:sectPr w:rsidR="00EC5E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989054">
    <w:abstractNumId w:val="8"/>
  </w:num>
  <w:num w:numId="2" w16cid:durableId="1937905511">
    <w:abstractNumId w:val="6"/>
  </w:num>
  <w:num w:numId="3" w16cid:durableId="575866402">
    <w:abstractNumId w:val="5"/>
  </w:num>
  <w:num w:numId="4" w16cid:durableId="304119121">
    <w:abstractNumId w:val="4"/>
  </w:num>
  <w:num w:numId="5" w16cid:durableId="699084313">
    <w:abstractNumId w:val="7"/>
  </w:num>
  <w:num w:numId="6" w16cid:durableId="614286233">
    <w:abstractNumId w:val="3"/>
  </w:num>
  <w:num w:numId="7" w16cid:durableId="1405108452">
    <w:abstractNumId w:val="2"/>
  </w:num>
  <w:num w:numId="8" w16cid:durableId="1303774064">
    <w:abstractNumId w:val="1"/>
  </w:num>
  <w:num w:numId="9" w16cid:durableId="50679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20A"/>
    <w:rsid w:val="00AA1D8D"/>
    <w:rsid w:val="00B47730"/>
    <w:rsid w:val="00CB0664"/>
    <w:rsid w:val="00CE6E6A"/>
    <w:rsid w:val="00EC5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57E2A"/>
  <w14:defaultImageDpi w14:val="300"/>
  <w15:docId w15:val="{8A98B857-6A22-384F-BC84-8CFB1380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1742</Characters>
  <Application>Microsoft Office Word</Application>
  <DocSecurity>0</DocSecurity>
  <Lines>61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Roberts</cp:lastModifiedBy>
  <cp:revision>2</cp:revision>
  <dcterms:created xsi:type="dcterms:W3CDTF">2026-02-23T04:47:00Z</dcterms:created>
  <dcterms:modified xsi:type="dcterms:W3CDTF">2026-02-23T04:47:00Z</dcterms:modified>
  <cp:category/>
</cp:coreProperties>
</file>