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C003" w14:textId="3A5F9D50" w:rsidR="00A1317E" w:rsidRDefault="005C5406" w:rsidP="005C5406">
      <w:pPr>
        <w:pStyle w:val="Heading1"/>
      </w:pPr>
      <w:proofErr w:type="spellStart"/>
      <w:r w:rsidRPr="005C5406">
        <w:rPr>
          <w:rFonts w:ascii="Calibri" w:hAnsi="Calibri" w:cs="Calibri"/>
          <w:b w:val="0"/>
          <w:color w:val="365F91"/>
        </w:rPr>
        <w:t>Homelend</w:t>
      </w:r>
      <w:proofErr w:type="spellEnd"/>
      <w:r w:rsidRPr="005C5406">
        <w:rPr>
          <w:rFonts w:ascii="Calibri" w:hAnsi="Calibri" w:cs="Calibri"/>
          <w:b w:val="0"/>
          <w:color w:val="365F91"/>
        </w:rPr>
        <w:t xml:space="preserve"> AI – HELOC Delay Root Cause (Sprint Artifact)</w:t>
      </w:r>
    </w:p>
    <w:p w14:paraId="3152103A" w14:textId="77777777" w:rsidR="00A1317E" w:rsidRDefault="00000000">
      <w:r>
        <w:t>This one-page artifact summarizes three defensible root causes of HELOC cycle-time delays, their operational symptoms, measurable proxy metrics, and credible sources. Use this as part of Phase 0 / 60-day sprint documentation.</w:t>
      </w: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331"/>
        <w:gridCol w:w="1281"/>
        <w:gridCol w:w="1246"/>
        <w:gridCol w:w="1081"/>
        <w:gridCol w:w="5776"/>
      </w:tblGrid>
      <w:tr w:rsidR="00A1317E" w14:paraId="2E8EB249" w14:textId="77777777" w:rsidTr="005C5406">
        <w:tc>
          <w:tcPr>
            <w:tcW w:w="311" w:type="dxa"/>
          </w:tcPr>
          <w:p w14:paraId="34455272" w14:textId="77777777" w:rsidR="00A1317E" w:rsidRDefault="00000000">
            <w:r>
              <w:t>#</w:t>
            </w:r>
          </w:p>
        </w:tc>
        <w:tc>
          <w:tcPr>
            <w:tcW w:w="1284" w:type="dxa"/>
          </w:tcPr>
          <w:p w14:paraId="62789CEE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Root Cause</w:t>
            </w:r>
          </w:p>
        </w:tc>
        <w:tc>
          <w:tcPr>
            <w:tcW w:w="1248" w:type="dxa"/>
          </w:tcPr>
          <w:p w14:paraId="4829352C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Operational Symptom (Why It Delays)</w:t>
            </w:r>
          </w:p>
        </w:tc>
        <w:tc>
          <w:tcPr>
            <w:tcW w:w="1387" w:type="dxa"/>
          </w:tcPr>
          <w:p w14:paraId="6FE9A33C" w14:textId="77777777" w:rsidR="00A1317E" w:rsidRPr="005C5406" w:rsidRDefault="00000000" w:rsidP="005C5406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Measurable Proxy Metrics (Track)</w:t>
            </w:r>
          </w:p>
        </w:tc>
        <w:tc>
          <w:tcPr>
            <w:tcW w:w="5485" w:type="dxa"/>
          </w:tcPr>
          <w:p w14:paraId="71283539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Credible Sources</w:t>
            </w:r>
          </w:p>
        </w:tc>
      </w:tr>
      <w:tr w:rsidR="00A1317E" w14:paraId="342CD015" w14:textId="77777777" w:rsidTr="005C5406">
        <w:tc>
          <w:tcPr>
            <w:tcW w:w="311" w:type="dxa"/>
          </w:tcPr>
          <w:p w14:paraId="335A679F" w14:textId="77777777" w:rsidR="00A1317E" w:rsidRDefault="00000000">
            <w:r>
              <w:t>1</w:t>
            </w:r>
          </w:p>
        </w:tc>
        <w:tc>
          <w:tcPr>
            <w:tcW w:w="1284" w:type="dxa"/>
          </w:tcPr>
          <w:p w14:paraId="2E461515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Income / Employment / Asset Verification Friction</w:t>
            </w:r>
          </w:p>
        </w:tc>
        <w:tc>
          <w:tcPr>
            <w:tcW w:w="1248" w:type="dxa"/>
          </w:tcPr>
          <w:p w14:paraId="51A383B2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Incomplete or inconsistent borrower documentation triggers follow-ups; income, employment, and assets must be validated before approval, causing iterative rework.</w:t>
            </w:r>
          </w:p>
        </w:tc>
        <w:tc>
          <w:tcPr>
            <w:tcW w:w="1387" w:type="dxa"/>
          </w:tcPr>
          <w:p w14:paraId="09001EEE" w14:textId="77777777" w:rsidR="00A1317E" w:rsidRPr="005C5406" w:rsidRDefault="00000000" w:rsidP="005C5406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• Avg. # doc touchpoints per file</w:t>
            </w:r>
            <w:r w:rsidRPr="005C5406">
              <w:rPr>
                <w:sz w:val="18"/>
                <w:szCs w:val="18"/>
              </w:rPr>
              <w:br/>
              <w:t>• % apps with ≥1 conditions cycle</w:t>
            </w:r>
            <w:r w:rsidRPr="005C5406">
              <w:rPr>
                <w:sz w:val="18"/>
                <w:szCs w:val="18"/>
              </w:rPr>
              <w:br/>
              <w:t>• Time from app submit → docs complete</w:t>
            </w:r>
            <w:r w:rsidRPr="005C5406">
              <w:rPr>
                <w:sz w:val="18"/>
                <w:szCs w:val="18"/>
              </w:rPr>
              <w:br/>
              <w:t>• % files needing re-verification</w:t>
            </w:r>
          </w:p>
        </w:tc>
        <w:tc>
          <w:tcPr>
            <w:tcW w:w="5485" w:type="dxa"/>
          </w:tcPr>
          <w:p w14:paraId="64AF4D13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Bank of America HELOC Application Review (validates income, requests additional items):</w:t>
            </w:r>
            <w:r w:rsidRPr="005C5406">
              <w:rPr>
                <w:sz w:val="18"/>
                <w:szCs w:val="18"/>
              </w:rPr>
              <w:br/>
              <w:t>https://promotions.bankofamerica.com/content/dam/consumer-marketing/ecs/heloc-baml-conversion/1_application-review.pdf</w:t>
            </w:r>
            <w:r w:rsidRPr="005C5406">
              <w:rPr>
                <w:sz w:val="18"/>
                <w:szCs w:val="18"/>
              </w:rPr>
              <w:br/>
            </w:r>
            <w:r w:rsidRPr="005C5406">
              <w:rPr>
                <w:sz w:val="18"/>
                <w:szCs w:val="18"/>
              </w:rPr>
              <w:br/>
              <w:t>CFPB Mortgage Origination Exam Procedures (verification/recordkeeping):</w:t>
            </w:r>
            <w:r w:rsidRPr="005C5406">
              <w:rPr>
                <w:sz w:val="18"/>
                <w:szCs w:val="18"/>
              </w:rPr>
              <w:br/>
              <w:t>https://files.consumerfinance.gov/f/201401_cfpb_mortgage-origination-exam-procedures.pdf</w:t>
            </w:r>
            <w:r w:rsidRPr="005C5406">
              <w:rPr>
                <w:sz w:val="18"/>
                <w:szCs w:val="18"/>
              </w:rPr>
              <w:br/>
            </w:r>
            <w:r w:rsidRPr="005C5406">
              <w:rPr>
                <w:sz w:val="18"/>
                <w:szCs w:val="18"/>
              </w:rPr>
              <w:br/>
              <w:t>Fannie Mae Day 1 Certainty (automated validation of income/employment/assets):</w:t>
            </w:r>
            <w:r w:rsidRPr="005C5406">
              <w:rPr>
                <w:sz w:val="18"/>
                <w:szCs w:val="18"/>
              </w:rPr>
              <w:br/>
              <w:t>https://www.fanniemae.com/newsroom/fannie-mae-news/fannie-mae-provides-day-1-certainty-new-enhancement-further-streamlines-mortgage-origination-process</w:t>
            </w:r>
          </w:p>
        </w:tc>
      </w:tr>
      <w:tr w:rsidR="00A1317E" w14:paraId="5FC038B6" w14:textId="77777777" w:rsidTr="005C5406">
        <w:tc>
          <w:tcPr>
            <w:tcW w:w="311" w:type="dxa"/>
          </w:tcPr>
          <w:p w14:paraId="36378AF9" w14:textId="77777777" w:rsidR="00A1317E" w:rsidRDefault="00000000">
            <w:r>
              <w:t>2</w:t>
            </w:r>
          </w:p>
        </w:tc>
        <w:tc>
          <w:tcPr>
            <w:tcW w:w="1284" w:type="dxa"/>
          </w:tcPr>
          <w:p w14:paraId="0BDB4807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Collateral Valuation Lag (Appraisal/AVM + Review/ROV)</w:t>
            </w:r>
          </w:p>
        </w:tc>
        <w:tc>
          <w:tcPr>
            <w:tcW w:w="1248" w:type="dxa"/>
          </w:tcPr>
          <w:p w14:paraId="7666F8A6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Ordering appraisals, curing appraisal defects, reconsideration of value (ROV), or second valuations introduce queue time and rework before final decisioning.</w:t>
            </w:r>
          </w:p>
        </w:tc>
        <w:tc>
          <w:tcPr>
            <w:tcW w:w="1387" w:type="dxa"/>
          </w:tcPr>
          <w:p w14:paraId="675DFCC7" w14:textId="77777777" w:rsidR="00A1317E" w:rsidRPr="005C5406" w:rsidRDefault="00000000" w:rsidP="005C5406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• Appraisal order → receipt SLA</w:t>
            </w:r>
            <w:r w:rsidRPr="005C5406">
              <w:rPr>
                <w:sz w:val="18"/>
                <w:szCs w:val="18"/>
              </w:rPr>
              <w:br/>
              <w:t>• % files with appraisal defects/ROV</w:t>
            </w:r>
            <w:r w:rsidRPr="005C5406">
              <w:rPr>
                <w:sz w:val="18"/>
                <w:szCs w:val="18"/>
              </w:rPr>
              <w:br/>
              <w:t>• Avg. days lost to valuation review</w:t>
            </w:r>
            <w:r w:rsidRPr="005C5406">
              <w:rPr>
                <w:sz w:val="18"/>
                <w:szCs w:val="18"/>
              </w:rPr>
              <w:br/>
              <w:t>• % HELOCs requiring second valuation</w:t>
            </w:r>
          </w:p>
        </w:tc>
        <w:tc>
          <w:tcPr>
            <w:tcW w:w="5485" w:type="dxa"/>
          </w:tcPr>
          <w:p w14:paraId="1BB73D88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CFPB Reg B Valuation examples (deficient appraisals trigger additional review/second valuations):</w:t>
            </w:r>
            <w:r w:rsidRPr="005C5406">
              <w:rPr>
                <w:sz w:val="18"/>
                <w:szCs w:val="18"/>
              </w:rPr>
              <w:br/>
              <w:t>https://www.consumerfinance.gov/rules-policy/regulations/1002/14</w:t>
            </w:r>
            <w:r w:rsidRPr="005C5406">
              <w:rPr>
                <w:sz w:val="18"/>
                <w:szCs w:val="18"/>
              </w:rPr>
              <w:br/>
            </w:r>
            <w:r w:rsidRPr="005C5406">
              <w:rPr>
                <w:sz w:val="18"/>
                <w:szCs w:val="18"/>
              </w:rPr>
              <w:br/>
              <w:t>ABA on Reconsideration of Value (ROV) as appraisal review control:</w:t>
            </w:r>
            <w:r w:rsidRPr="005C5406">
              <w:rPr>
                <w:sz w:val="18"/>
                <w:szCs w:val="18"/>
              </w:rPr>
              <w:br/>
              <w:t>https://bankingjournal.aba.com/2025/05/reconsideration-of-value-rov-a-critical-component-of-appraisal-review/</w:t>
            </w:r>
            <w:r w:rsidRPr="005C5406">
              <w:rPr>
                <w:sz w:val="18"/>
                <w:szCs w:val="18"/>
              </w:rPr>
              <w:br/>
            </w:r>
            <w:r w:rsidRPr="005C5406">
              <w:rPr>
                <w:sz w:val="18"/>
                <w:szCs w:val="18"/>
              </w:rPr>
              <w:br/>
              <w:t>Bank of America HELOC guide (valuation acquired during review; appraisal delivered after completion):</w:t>
            </w:r>
            <w:r w:rsidRPr="005C5406">
              <w:rPr>
                <w:sz w:val="18"/>
                <w:szCs w:val="18"/>
              </w:rPr>
              <w:br/>
              <w:t>https://promotions.bankofamerica.com/content/dam/consumer-marketing/ecs/heloc-baml-conversion/1_application-review.pdf</w:t>
            </w:r>
          </w:p>
        </w:tc>
      </w:tr>
      <w:tr w:rsidR="00A1317E" w14:paraId="49B2E8A8" w14:textId="77777777" w:rsidTr="005C5406">
        <w:tc>
          <w:tcPr>
            <w:tcW w:w="311" w:type="dxa"/>
          </w:tcPr>
          <w:p w14:paraId="6C4C81B2" w14:textId="77777777" w:rsidR="00A1317E" w:rsidRDefault="00000000">
            <w:r>
              <w:t>3</w:t>
            </w:r>
          </w:p>
        </w:tc>
        <w:tc>
          <w:tcPr>
            <w:tcW w:w="1284" w:type="dxa"/>
          </w:tcPr>
          <w:p w14:paraId="4E1872DD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>Manual Underwriting &amp; Exception Handling (Human-in-the-Loop)</w:t>
            </w:r>
          </w:p>
        </w:tc>
        <w:tc>
          <w:tcPr>
            <w:tcW w:w="1248" w:type="dxa"/>
          </w:tcPr>
          <w:p w14:paraId="1AFB6307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t xml:space="preserve">Non-standard borrower profiles (self-employed income, layered credit, property quirks, lien/title </w:t>
            </w:r>
            <w:r w:rsidRPr="005C5406">
              <w:rPr>
                <w:sz w:val="18"/>
                <w:szCs w:val="18"/>
              </w:rPr>
              <w:lastRenderedPageBreak/>
              <w:t>nuances) are routed to manual underwriting, accruing conditions and re-reviews.</w:t>
            </w:r>
          </w:p>
        </w:tc>
        <w:tc>
          <w:tcPr>
            <w:tcW w:w="1387" w:type="dxa"/>
          </w:tcPr>
          <w:p w14:paraId="3912B5BF" w14:textId="77777777" w:rsidR="00A1317E" w:rsidRPr="005C5406" w:rsidRDefault="00000000" w:rsidP="005C5406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lastRenderedPageBreak/>
              <w:t>• % files straight-through processed (STP)</w:t>
            </w:r>
            <w:r w:rsidRPr="005C5406">
              <w:rPr>
                <w:sz w:val="18"/>
                <w:szCs w:val="18"/>
              </w:rPr>
              <w:br/>
              <w:t>• % routed to manual review</w:t>
            </w:r>
            <w:r w:rsidRPr="005C5406">
              <w:rPr>
                <w:sz w:val="18"/>
                <w:szCs w:val="18"/>
              </w:rPr>
              <w:br/>
              <w:t xml:space="preserve">• Avg. underwriting touches </w:t>
            </w:r>
            <w:r w:rsidRPr="005C5406">
              <w:rPr>
                <w:sz w:val="18"/>
                <w:szCs w:val="18"/>
              </w:rPr>
              <w:lastRenderedPageBreak/>
              <w:t>per file</w:t>
            </w:r>
            <w:r w:rsidRPr="005C5406">
              <w:rPr>
                <w:sz w:val="18"/>
                <w:szCs w:val="18"/>
              </w:rPr>
              <w:br/>
              <w:t>• Time in conditions status</w:t>
            </w:r>
          </w:p>
        </w:tc>
        <w:tc>
          <w:tcPr>
            <w:tcW w:w="5485" w:type="dxa"/>
          </w:tcPr>
          <w:p w14:paraId="1DD32EB0" w14:textId="77777777" w:rsidR="00A1317E" w:rsidRPr="005C5406" w:rsidRDefault="00000000">
            <w:pPr>
              <w:rPr>
                <w:sz w:val="18"/>
                <w:szCs w:val="18"/>
              </w:rPr>
            </w:pPr>
            <w:r w:rsidRPr="005C5406">
              <w:rPr>
                <w:sz w:val="18"/>
                <w:szCs w:val="18"/>
              </w:rPr>
              <w:lastRenderedPageBreak/>
              <w:t>NY Fed research (automation reduces origination time ~10 days / ~20%):</w:t>
            </w:r>
            <w:r w:rsidRPr="005C5406">
              <w:rPr>
                <w:sz w:val="18"/>
                <w:szCs w:val="18"/>
              </w:rPr>
              <w:br/>
              <w:t>https://www.newyorkfed.org/medialibrary/media/research/staff_reports/sr836.pdf</w:t>
            </w:r>
            <w:r w:rsidRPr="005C5406">
              <w:rPr>
                <w:sz w:val="18"/>
                <w:szCs w:val="18"/>
              </w:rPr>
              <w:br/>
            </w:r>
            <w:r w:rsidRPr="005C5406">
              <w:rPr>
                <w:sz w:val="18"/>
                <w:szCs w:val="18"/>
              </w:rPr>
              <w:br/>
              <w:t>CFPB Origination Procedures (underwriting/appraisals as controlled modules):</w:t>
            </w:r>
            <w:r w:rsidRPr="005C5406">
              <w:rPr>
                <w:sz w:val="18"/>
                <w:szCs w:val="18"/>
              </w:rPr>
              <w:br/>
              <w:t>https://files.consumerfinance.gov/f/201401_cfpb_mortgage-origination-exam-procedures.pdf</w:t>
            </w:r>
          </w:p>
        </w:tc>
      </w:tr>
    </w:tbl>
    <w:p w14:paraId="6F946340" w14:textId="77777777" w:rsidR="00A1317E" w:rsidRDefault="00000000">
      <w:pPr>
        <w:pStyle w:val="Heading2"/>
      </w:pPr>
      <w:r>
        <w:t>Design Implications &amp; KPI Targets</w:t>
      </w:r>
    </w:p>
    <w:p w14:paraId="2AB06F82" w14:textId="77777777" w:rsidR="00A1317E" w:rsidRDefault="00000000">
      <w:r>
        <w:t>Design Implications:</w:t>
      </w:r>
      <w:r>
        <w:br/>
        <w:t>• Automate verification (income/employment/assets) to reduce condition cycles.</w:t>
      </w:r>
      <w:r>
        <w:br/>
        <w:t>• Orchestrate valuation intelligently (AVM vs appraisal, defect pre-checks, fast ROV routing).</w:t>
      </w:r>
      <w:r>
        <w:br/>
        <w:t>• Maximize straight-through processing by pre-scoring exception risk and reserving human review for true edge cases.</w:t>
      </w:r>
      <w:r>
        <w:br/>
      </w:r>
      <w:r>
        <w:br/>
        <w:t>KPI Targets (baseline dependent):</w:t>
      </w:r>
      <w:r>
        <w:br/>
        <w:t>• Reduce docs-to-complete median by 30–50%</w:t>
      </w:r>
      <w:r>
        <w:br/>
        <w:t>• Cut valuation cycle time by 25–40%</w:t>
      </w:r>
      <w:r>
        <w:br/>
        <w:t>• Increase STP rate by 15–25 pts</w:t>
      </w:r>
    </w:p>
    <w:sectPr w:rsidR="00A131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096778">
    <w:abstractNumId w:val="8"/>
  </w:num>
  <w:num w:numId="2" w16cid:durableId="1033503983">
    <w:abstractNumId w:val="6"/>
  </w:num>
  <w:num w:numId="3" w16cid:durableId="1729450270">
    <w:abstractNumId w:val="5"/>
  </w:num>
  <w:num w:numId="4" w16cid:durableId="882713828">
    <w:abstractNumId w:val="4"/>
  </w:num>
  <w:num w:numId="5" w16cid:durableId="2074431166">
    <w:abstractNumId w:val="7"/>
  </w:num>
  <w:num w:numId="6" w16cid:durableId="417796592">
    <w:abstractNumId w:val="3"/>
  </w:num>
  <w:num w:numId="7" w16cid:durableId="227889798">
    <w:abstractNumId w:val="2"/>
  </w:num>
  <w:num w:numId="8" w16cid:durableId="1077240026">
    <w:abstractNumId w:val="1"/>
  </w:num>
  <w:num w:numId="9" w16cid:durableId="214107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5406"/>
    <w:rsid w:val="007B378A"/>
    <w:rsid w:val="00A1317E"/>
    <w:rsid w:val="00AA1D8D"/>
    <w:rsid w:val="00B47730"/>
    <w:rsid w:val="00BF7733"/>
    <w:rsid w:val="00CB0664"/>
    <w:rsid w:val="00CE6E6A"/>
    <w:rsid w:val="00DD31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DD402"/>
  <w14:defaultImageDpi w14:val="300"/>
  <w15:docId w15:val="{8A98B857-6A22-384F-BC84-8CFB13807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348</Words>
  <Characters>3076</Characters>
  <Application>Microsoft Office Word</Application>
  <DocSecurity>0</DocSecurity>
  <Lines>183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Roberts</cp:lastModifiedBy>
  <cp:revision>4</cp:revision>
  <dcterms:created xsi:type="dcterms:W3CDTF">2026-02-23T04:27:00Z</dcterms:created>
  <dcterms:modified xsi:type="dcterms:W3CDTF">2026-02-23T04:36:00Z</dcterms:modified>
  <cp:category/>
</cp:coreProperties>
</file>