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21337890625" w:line="360" w:lineRule="auto"/>
        <w:ind w:left="17.39288330078125"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Preamble</w:t>
      </w: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21337890625" w:line="360" w:lineRule="auto"/>
        <w:ind w:left="17.39288330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signatory nations, recognizing the potential of artificial intelligence (AI) to transform societies and economies, and understanding the need for responsible governance to ensure the safe, ethical, and beneficial deployment of AI technologies, hereby establish this treaty.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9.286041259765625" w:right="399.08447265625" w:hanging="4.6092987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Acknowledging the rapid advancements in AI capabilities, the potential risks associated with AI deployment, and the importance of maintaining sovereignty, the signatory nations commit to creating a comprehensive framework for the regulation and monitoring of AI development.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9.141998291015625" w:right="11.746826171875" w:firstLine="5.329513549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Recognizing the necessity of international cooperation, information sharing, and capacity building, the signatory nations aim to foster collaboration to address shared challenges and promote responsible AI governance at a global level.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6640625" w:line="360" w:lineRule="auto"/>
        <w:ind w:left="0" w:right="0" w:firstLine="0"/>
        <w:jc w:val="left"/>
        <w:rPr>
          <w:rFonts w:ascii="Times New Roman" w:cs="Times New Roman" w:eastAsia="Times New Roman" w:hAnsi="Times New Roman"/>
          <w:color w:val="2b2b2b"/>
          <w:sz w:val="28"/>
          <w:szCs w:val="28"/>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1: Principles and Objectives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6640625" w:line="360" w:lineRule="auto"/>
        <w:ind w:left="0"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1.1 Guiding Principles: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360" w:lineRule="auto"/>
        <w:ind w:left="19.801025390625" w:right="484.75341796875" w:hanging="9.50668334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The signatory nations shall base their AI governance frameworks on the principles of transparency, accountability, fairness, and respect for human rights.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494140625" w:line="360" w:lineRule="auto"/>
        <w:ind w:left="16.019973754882812" w:right="419.183349609375" w:hanging="3.5649871826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AI systems should be designed and used in a manner that promotes human well-being, inclusivity, and the preservation ofhuman autonomy.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24169921875" w:line="360" w:lineRule="auto"/>
        <w:ind w:left="12.599029541015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1.2 Objectives: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755859375"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To promote the responsible and ethical development, deployment, and use of AI technologies.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12.454986572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To establish regulatory mechanisms and monitoring programs that ensure compliance with AI regulations and guidelines.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9.14199829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To foster international cooperation, collaboration, and capacity building in the field of AI governance.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54833984375" w:line="360" w:lineRule="auto"/>
        <w:ind w:left="9.28604125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To address the potential risks and societal impacts of AI deployment while fostering innovation and economic growth.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93994140625" w:line="360" w:lineRule="auto"/>
        <w:ind w:left="0" w:right="0" w:firstLine="0"/>
        <w:jc w:val="left"/>
        <w:rPr>
          <w:rFonts w:ascii="Times New Roman" w:cs="Times New Roman" w:eastAsia="Times New Roman" w:hAnsi="Times New Roman"/>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2: Regulation and Control of AI Development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44140625" w:line="360" w:lineRule="auto"/>
        <w:ind w:left="5.30097961425781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2.1 Centralized Tool for Data Usage and Training: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755859375"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Each signatory nation shall establish a centralized tool for data usage and training in AI 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The centralized tool shall facilitate the efficient and responsible use of data for AI training purposes.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9.141998291015625" w:right="460.7336425781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Cloud-based infrastructure shall be encouraged as a form of environmental offset, allowing for high-performance computing while minimizing environmental concerns.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3212890625" w:line="360" w:lineRule="auto"/>
        <w:ind w:left="12.598953247070312" w:right="99.583740234375" w:hanging="0.143966674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The centralized tool shall promote decentralization within an n-network structure to minimize central traffic and environmental impact.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3212890625" w:line="360" w:lineRule="auto"/>
        <w:ind w:left="12.598953247070312" w:right="99.583740234375" w:hanging="0.143966674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Decentralization efforts shall aim to distribute computing and storage resources across multiple nodes, reducing the reliance on a single centralized infrastructure.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3212890625" w:line="360" w:lineRule="auto"/>
        <w:ind w:left="12.598953247070312" w:right="99.583740234375" w:hanging="0.143966674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The n-network structure shall enable high-performance computing capabilities while minimizing environmental concerns and maximizing resource efficiency.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66455078125" w:line="360" w:lineRule="auto"/>
        <w:ind w:left="12.454986572265625" w:right="791.146240234375" w:hanging="3.31298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The campaign on AI safety shall integrate environmental considerations and incentivize companies to adopt environmentally friendly practices through mechanisms such as green bonds and platforms like Kaggle, Google Colab, and other open software and open data programs.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01611328125" w:line="360" w:lineRule="auto"/>
        <w:ind w:left="12.598953247070312" w:right="1549.551391601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Incentives shall be provided to companies that demonstrate a commitment to sustainable AI development and environmental responsibility.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01611328125" w:line="360" w:lineRule="auto"/>
        <w:ind w:left="12.598953247070312" w:right="1549.551391601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Green bonds and similar financial instruments shall be encouraged to fund AI projects that prioritize environmental sustainability.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360" w:lineRule="auto"/>
        <w:ind w:left="9.141998291015625" w:right="832.9992675781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iii. Collaboration with platforms such as Kaggle and Google Colab shall enable the use of open software and open data programs, fostering transparency, collaboration, and access to resources.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01611328125" w:line="360" w:lineRule="auto"/>
        <w:ind w:left="9.28604125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The centralized tool shall prioritize data privacy, security, and transparency.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57885742187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Guidelines and standards shall be established to ensure that data used for AI training is obtained with proper consent and adheres to privacy regulations.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578857421875" w:line="360" w:lineRule="auto"/>
        <w:ind w:left="12.454986572265625" w:right="0" w:firstLine="0.143966674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Transparency measures shall be implemented to provide individuals with insights into how their data is being used and empower them to exercise control over their personal information.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16870117188" w:line="360" w:lineRule="auto"/>
        <w:ind w:left="12.598953247070312" w:right="80.4541015625" w:hanging="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Regular audits and evaluations of the centralized tool shall be conducted to assess its effectiveness, address potential biases, and identify areas for improvement.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416870117188" w:line="360" w:lineRule="auto"/>
        <w:ind w:left="12.598953247070312" w:right="80.4541015625" w:hanging="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Audits shall evaluate the adherence to ethical principles, privacy standards, and environmental considerations.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2453.3660888671875" w:firstLine="7.2979736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Findings from audits and evaluations shall inform updates and enhancements to the centralized tool and associated policies.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2453.3660888671875" w:firstLine="7.29797363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2453.3660888671875" w:firstLine="7.2979736328125"/>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2.2 Regulation of Quantum Computing in AI Development: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Each signatory nation shall establish regulations to govern the use of quantum computing in AI-related activities.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Regulations may include licensing requirements for the use of quantum computing in AI development.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4873046875" w:line="360" w:lineRule="auto"/>
        <w:ind w:left="3.23638916015625" w:right="250.9814453125" w:firstLine="9.36256408691406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Regulations may outline specific permissible use cases for quantum computing in AI, such as optimization problems, simulation, or advanced machine learning techniques.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12.166900634765625" w:right="807.291259765625" w:firstLine="0.432052612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iii. Regulations shall consider the potential security risks associated with quantum computing and include measures to protect sensitive data and prevent unauthorized access.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12.454986572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Signatory nations shall encourage research and development to address the ethical implications of quantum computing in AI and promote responsible use.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4873046875" w:line="360" w:lineRule="auto"/>
        <w:ind w:left="12.454986572265625" w:right="172.921142578125" w:firstLine="0.1439666748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Research initiatives may focus on identifying potential biases, ensuring transparency in quantum algorithms, and assessing the impact of quantum computing on privacy and security.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9.141998291015625" w:right="450.3027343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Collaboration between academia, industry, and regulatory bodies should be fostered to develop guidelines and best practices for the ethical use of quantum computing in AI.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37109375" w:line="360" w:lineRule="auto"/>
        <w:ind w:left="12.598953247070312" w:right="2493.3148193359375" w:hanging="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Signatory nations shall establish mechanisms for monitoring and auditing the use of quantum computing in AI development. i. Regular audits may be conducted to ensure compliance with regulations and ethical standards.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360" w:lineRule="auto"/>
        <w:ind w:left="9.286041259765625" w:right="713.067626953125" w:firstLine="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Reporting requirements may be imposed on organizations utilizing quantum computing in AI, including the disclosure of algorithms and potential biases.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360" w:lineRule="auto"/>
        <w:ind w:left="9.286041259765625" w:right="713.067626953125" w:firstLine="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Signatory nations shall promote international cooperation and information sharing regarding quantum computing in 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580078125" w:line="360" w:lineRule="auto"/>
        <w:ind w:left="9.141998291015625" w:right="384.6643066406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Collaborative initiatives may include sharing research findings, conducting joint studies, and facilitating exchanges between experts in the field.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580078125" w:line="360" w:lineRule="auto"/>
        <w:ind w:left="9.141998291015625" w:right="384.6643066406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The establishment of international standards and guidelines for the ethical and responsible use of quantum computing in AI should be encouraged.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580078125" w:line="360" w:lineRule="auto"/>
        <w:ind w:left="9.141998291015625" w:right="384.6643066406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Regulatory frameworks shall be periodically reviewed and updated to accommodate advancements in quantum computing and address emerging challenges.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580078125" w:line="360" w:lineRule="auto"/>
        <w:ind w:left="9.141998291015625" w:right="384.6643066406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Regular assessments should be conducted to evaluate the effectiveness and adequacy of existing regulations.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541.26953125" w:firstLine="7.2979736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Updates to regulations should consider technological advancements, societal concerns, and international developments in the field of quantum computing.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541.26953125" w:firstLine="7.2979736328125"/>
        <w:jc w:val="left"/>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541.26953125" w:firstLine="7.2979736328125"/>
        <w:jc w:val="left"/>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5.3009796142578125" w:right="541.26953125" w:firstLine="7.2979736328125"/>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2.3 Ethical Considerations in AI Research and Development: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integrate ethical considerations throughout the AI research and development process.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2.598953247070312" w:right="2433.2977294921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Ethical considerations shall encompass transparency, fairness, accountability, and the protection of human rights and privacy. ii. AI developers and researchers shall be encouraged to adopt ethical frameworks and principles in their work.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360" w:lineRule="auto"/>
        <w:ind w:left="4.6767425537109375" w:right="130.49072265625" w:firstLine="7.7782440185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Each signatory nation shall establish a committee known as the Artificial Intelligence Review on Ethics Committee (AIREC) to conduct objective ethical reviews of AI systems.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AIREC shall comprise experts from various disciplines, including AI, ethics, law, and social sciences.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The primary objective of AIREC is to assess AI systems against established ethical guidelines and principles.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4873046875" w:line="360" w:lineRule="auto"/>
        <w:ind w:left="12.598953247070312" w:right="509.385986328125" w:hanging="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AIREC shall be responsible for conducting ethical reviews on AI systems prior to their deployment, with a focus on identifying potential ethical malpractices. i. Ethical reviews conducted by AIREC shall evaluate the fairness, transparency, accountability, and potential societal impacts of AI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360" w:lineRule="auto"/>
        <w:ind w:left="10.294342041015625" w:right="587.410888671875" w:firstLine="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AIREC shall assess whether AI systems adhere to established guidelines and principles, including those related to bias, discrimination, privacy, and human autonomy.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12.598953247070312" w:right="547.083740234375" w:hanging="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AIREC shall provide recommendations and guidelines to AI developers and organizations to rectify any identified ethical malpractices or shortcomings. i. Recommendations may include specific measures to mitigate biases, increase transparency, enhance accountability, or address potential privacy concerns. ii. AI developers and organizations shall be encouraged to address the recommendations provided by AIREC in a timely and responsible manner.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286041259765625" w:right="468.985595703125" w:hanging="0.1440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Signatory nations shall establish mechanisms for ongoing collaboration between AIREC and relevant stakeholders, including AI developers, researchers, civil society organizations, and industry representatives.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12.598953247070312" w:right="2300.886230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Collaboration with stakeholders shall ensure that ethical reviews conducted by AIREC reflect diverse perspectives and expertise.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12.598953247070312" w:right="2300.886230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Stakeholder engagement shall foster transparency, accountability, and public trust in the ethical assessment process.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22314453125" w:line="360" w:lineRule="auto"/>
        <w:ind w:left="9.141998291015625" w:right="543.63159179687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AIREC shall periodically review and update its ethical guidelines and evaluation criteria to keep pace with technological advancements and evolving societal expectations.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9.141998291015625" w:right="125.7446289062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Regular assessments of ethical guidelines shall consider emerging ethical challenges, the impact of AI on society, and international developments in the field of AI ethics.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5.3009796142578125" w:right="533.392333984375" w:firstLine="7.2979736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Updates to ethical guidelines shall be conducted in a transparent and inclusive manner, taking into account input from stakeholders and experts in the field.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8798828125" w:line="360" w:lineRule="auto"/>
        <w:ind w:left="5.3009796142578125" w:right="533.392333984375" w:firstLine="7.2979736328125"/>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2.4 Promotion of Responsible Innovation: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foster responsible innovation in AI through collaboration between academia, industry, and regulatory bodies.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Collaboration shall aim to address the potential disruptive effects of AI on sustainable economic practices, particularly in developing nations.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The promotion of responsible innovation shall consider the social, economic, and environmental impacts of AI deployment.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Signatory nations shall encourage the establishment of government grant programs to support AI development in a sustainable and inclusive manner.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Government grants shall prioritize projects that contribute to sustainable economic practices and promote equitable access to AI benefits.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Grant programs shall consider the needs and priorities of developing nations, focusing on capacity building, infrastructure development, and technology transfer.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41998291015625" w:right="17.574462890625" w:firstLine="1.1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Government incubator programs shall be established to support AI startups and provide them with necessary resources, mentorship, and fixed timelines for product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28604125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9.286041259765625" w:right="1760.548095703125" w:firstLine="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Incubator programs shall facilitate the growth and development of AI startups, ensuring they adhere to responsible and ethical practices.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9.286041259765625" w:right="1760.548095703125" w:firstLine="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Fixed timelines for product development within incubator programs shall promote efficient and timely deployment of AI solutions.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9.286041259765625" w:right="1760.548095703125" w:firstLine="3.31291198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Signatory nations shall encourage public-private partnerships to promote responsible AI innovation.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71.8261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Partnerships shall aim to leverage the expertise and resources of both the public and private sectors for sustainable AI development.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71.8261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Collaboration between governments and private entities shall foster innovation while ensuring adherence to ethical standards and responsible practices.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71.8261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Data and statistics on the potential disruptions caused by AI shall be collected and analyzed to inform policy decisions and facilitate evidence-based interventions.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71.8261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The collection and analysis of data shall focus on understanding the impact of AI on sustainable economic practices, particularly in developing nations.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71.8261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Findings from data analysis shall guide the allocation of resources, the identification of priority areas for intervention, and the development of supportive policies.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9.141998291015625" w:right="595.8276367187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Signatory nations shall establish mechanisms for knowledge-sharing and capacity building to empower developing nations in leveraging AI for sustainable economic growth.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26953125" w:line="360" w:lineRule="auto"/>
        <w:ind w:left="3.23638916015625" w:right="823.06396484375" w:firstLine="9.36256408691406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Capacity building initiatives shall include training programs, workshops, and knowledge-sharing platforms to promote understanding and adoption of AI technologies.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26953125" w:line="360" w:lineRule="auto"/>
        <w:ind w:left="0" w:right="1010.90087890625" w:firstLine="12.59895324707031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Technical assistance and mentorship programs shall be provided to support the development and deployment of AI solutions in developing nations.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126953125" w:line="360" w:lineRule="auto"/>
        <w:ind w:left="0" w:right="1010.90087890625" w:firstLine="12.598953247070312"/>
        <w:jc w:val="left"/>
        <w:rPr>
          <w:rFonts w:ascii="Times New Roman" w:cs="Times New Roman" w:eastAsia="Times New Roman" w:hAnsi="Times New Roman"/>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3: International Cooperation and Collaboration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4775390625" w:line="360" w:lineRule="auto"/>
        <w:ind w:left="5.49301147460937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3.1 International Collaboration Framework: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755859375" w:line="360" w:lineRule="auto"/>
        <w:ind w:left="12.454986572265625" w:right="328.2104492187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establish a framework for international collaboration and cooperation in the field of AI governance.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755859375" w:line="360" w:lineRule="auto"/>
        <w:ind w:left="12.454986572265625" w:right="328.2104492187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The framework shall facilitate the sharing of knowledge, best practices, and experiences, promoting global understanding and harmonization of AI regulations.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63232421875" w:line="360" w:lineRule="auto"/>
        <w:ind w:left="5.49301147460937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3.2 Information Exchange and Capacity Building: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81689453125" w:line="360" w:lineRule="auto"/>
        <w:ind w:left="12.454986572265625" w:right="601.411132812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actively participate in information exchange and capacity-building initiatives to enhance expertise in AI governance, regulation, and monitoring.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5.493011474609375" w:right="632.607421875" w:firstLine="6.96197509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These initiatives may include workshops, training programs, and joint research projects to foster a collaborative and informed approach to AI governance.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5.493011474609375" w:right="632.607421875" w:firstLine="6.96197509765625"/>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3.3 Protection of Whistleblowers: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98953247070312" w:right="666.74194335937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enact legislation to protect whistleblowers who expose unethical or illegal activities related to AI development and deployment.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98953247070312" w:right="666.74194335937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Whistleblowers who report violations, risks, or misconduct in AI projects shall be shielded from retaliation and provided with appropriate legal protections.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98953247070312" w:right="666.74194335937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Confidential reporting mechanisms shall be established to ensure the anonymity and security of whistleblowers.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iii. Whistleblowers shall have access to legal remedies and support to address any adverse consequences resulting from their disclosures.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4873046875" w:line="360" w:lineRule="auto"/>
        <w:ind w:left="10.294342041015625" w:right="134.058837890625" w:firstLine="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Signatory nations shall encourage a culture of transparency and accountability, where individuals feel safe and supported in reporting concerns about AI systems and practices.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10.294342041015625" w:right="540.672607421875" w:firstLine="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Awareness campaigns and educational programs shall be implemented to inform stakeholders about the importance of whistleblowing and the protections available.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9.141998291015625" w:right="935.6921386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Mechanisms for reporting and investigating whistleblower complaints shall be established to address reported concerns and take necessary actions.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9.141998291015625" w:right="935.692138671875" w:firstLine="3.456954956054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International cooperation and collaboration shall be fostered to share best practices and experiences in protecting whistleblowers in the field of AI.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7626953125" w:line="360" w:lineRule="auto"/>
        <w:ind w:left="9.141998291015625" w:right="935.692138671875" w:firstLine="3.456954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Signatory nations shall exchange information on effective whistleblower protection laws, policies, and procedures.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830810546875" w:line="360" w:lineRule="auto"/>
        <w:ind w:left="0" w:right="0" w:firstLine="0"/>
        <w:jc w:val="left"/>
        <w:rPr>
          <w:rFonts w:ascii="Times New Roman" w:cs="Times New Roman" w:eastAsia="Times New Roman" w:hAnsi="Times New Roman"/>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4: Compliance and Monitoring Mechanisms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5634765625" w:line="360" w:lineRule="auto"/>
        <w:ind w:left="1.65191650390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4.1 Compliance Monitoring: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1171875"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establish mechanisms to monitor and assess compliance with AI regulations and guidelines.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00927734375" w:line="360" w:lineRule="auto"/>
        <w:ind w:left="9.141998291015625" w:right="113.963623046875" w:firstLine="3.31298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Compliance monitoring efforts shall be conducted in a fair, transparent, and proportionate manner, taking into account the specificities of each AI application and context.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197998046875" w:line="360" w:lineRule="auto"/>
        <w:ind w:left="1.65191650390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4.2 Voluntary Reporting: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0" w:right="302.515869140625" w:firstLine="10.29434204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AI developers and organizations are encouraged to voluntarily report on their AI systems' capabilities, limitations, and potential risks.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0" w:right="302.515869140625" w:firstLine="10.29434204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Voluntary reporting promotes transparency, fosters trust, and facilitates effective monitoring of AI systems' compliance with regulations and ethical standards.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0" w:right="302.515869140625" w:firstLine="10.294342041015625"/>
        <w:jc w:val="left"/>
        <w:rPr>
          <w:rFonts w:ascii="Times New Roman" w:cs="Times New Roman" w:eastAsia="Times New Roman" w:hAnsi="Times New Roman"/>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5: Review and Enhancement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21813964844" w:line="360" w:lineRule="auto"/>
        <w:ind w:left="11.062545776367188"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5.1 Regular Review:</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The central committee, established under Article 6, shall conduct regular reviews of the treaty's implementation and effectiveness.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360" w:lineRule="auto"/>
        <w:ind w:left="12.454986572265625" w:right="349.5971679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Reviews shall take into account technological advancements, societal developments, and feedback from stakeholders to propose necessary improvements or modifications.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228515625" w:line="360" w:lineRule="auto"/>
        <w:ind w:left="11.062545776367188"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5.2 Enhancement and Adaptation: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12.598953247070312" w:right="105.738525390625" w:hanging="2.30461120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Based on the review outcomes, the central committee may propose enhancements or adaptations to the treaty to address emerging challenges and opportunities in AI governance.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615234375" w:line="360" w:lineRule="auto"/>
        <w:ind w:left="12.454986572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Proposed enhancements or adaptations shall be subject to consensus among signatory nations.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634765625" w:line="360" w:lineRule="auto"/>
        <w:ind w:left="0"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Article 6: Central Committee for AI Governance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5634765625" w:line="360" w:lineRule="auto"/>
        <w:ind w:left="8.949966430664062"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6.1 Establishment of Central Committee: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1171875" w:line="360" w:lineRule="auto"/>
        <w:ind w:left="12.454986572265625" w:right="623.98071289062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A central committee shall be established to oversee the implementation, coordination, and evaluation of AI governance efforts under this treaty.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1171875" w:line="360" w:lineRule="auto"/>
        <w:ind w:left="12.454986572265625" w:right="623.98071289062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The central committee shall comprise representatives from signatory nations and relevant stakeholders with expertise in AI, ethics, law, and related fields.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44921875" w:line="360" w:lineRule="auto"/>
        <w:ind w:left="8.949966430664062"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6.2 Responsibilities of the Central Committee: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The central committee shall facilitate collaboration, knowledge sharing, and capacity building among signatory nations.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12109375" w:line="360" w:lineRule="auto"/>
        <w:ind w:left="0" w:right="1203.330078125" w:firstLine="12.454986572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It shall also monitor the progress of AI governance initiatives, promote best practices, and provide guidance on emerging issues in the field of AI.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12109375" w:line="360" w:lineRule="auto"/>
        <w:ind w:left="0" w:right="1203.330078125" w:firstLine="0"/>
        <w:jc w:val="left"/>
        <w:rPr>
          <w:rFonts w:ascii="Times New Roman" w:cs="Times New Roman" w:eastAsia="Times New Roman" w:hAnsi="Times New Roman"/>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8"/>
          <w:szCs w:val="28"/>
          <w:u w:val="none"/>
          <w:shd w:fill="auto" w:val="clear"/>
          <w:vertAlign w:val="baseline"/>
          <w:rtl w:val="0"/>
        </w:rPr>
        <w:t xml:space="preserve">Article 7: Sovereignty and Implementation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2333984375" w:line="360" w:lineRule="auto"/>
        <w:ind w:left="3.95660400390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7.1 Sovereignty: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7275390625"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Each signatory nation retains its sovereignty in implementing AI regulations and guidelines within its jurisdiction.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2.454986572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The treaty shall not infringe upon the sovereignty of any signatory nation.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22265625" w:line="360" w:lineRule="auto"/>
        <w:ind w:left="3.95660400390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7.2 Implementation: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7275390625" w:line="360" w:lineRule="auto"/>
        <w:ind w:left="12.454986572265625" w:right="1372.127075195312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Signatory nations shall take appropriate measures to incorporate the provisions of this treaty into their national laws, regulations, and policies.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7275390625" w:line="360" w:lineRule="auto"/>
        <w:ind w:left="12.454986572265625" w:right="1372.1270751953125" w:hanging="2.16064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Implementation efforts shall be guided by the principles, objectives, and provisions set forth in this treaty.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38818359375" w:line="360" w:lineRule="auto"/>
        <w:ind w:left="3.95660400390625" w:right="0" w:firstLine="0"/>
        <w:jc w:val="left"/>
        <w:rPr>
          <w:rFonts w:ascii="Times New Roman" w:cs="Times New Roman" w:eastAsia="Times New Roman" w:hAnsi="Times New Roman"/>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b2b2b"/>
          <w:sz w:val="24"/>
          <w:szCs w:val="24"/>
          <w:u w:val="none"/>
          <w:shd w:fill="auto" w:val="clear"/>
          <w:vertAlign w:val="baseline"/>
          <w:rtl w:val="0"/>
        </w:rPr>
        <w:t xml:space="preserve">7.3 Duration: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57275390625" w:line="360" w:lineRule="auto"/>
        <w:ind w:left="10.294342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Said treaty would not be lifted until: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2.598953247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 universal agreement is reached among signatory nations to modify or terminate the treaty.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5.479812622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witness thereof, the undersigned, being duly authorized, have signed this Treaty for Responsible Governance of Artificial Intelligence.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5.4798126220703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5.4798126220703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Works Cited:</w:t>
      </w:r>
    </w:p>
    <w:p w:rsidR="00000000" w:rsidDel="00000000" w:rsidP="00000000" w:rsidRDefault="00000000" w:rsidRPr="00000000" w14:paraId="0000009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pBdr>
          <w:top w:color="ffffff" w:space="0" w:sz="8" w:val="single"/>
          <w:left w:color="ffffff" w:space="0" w:sz="8" w:val="single"/>
          <w:bottom w:color="ffffff" w:space="0" w:sz="8" w:val="single"/>
          <w:right w:color="ffffff" w:space="0" w:sz="8" w:val="singl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De Stefano, Valeria. “Towards Intelligent Regulation of Artificial Intelligence.” European Journal of Risk Regulation, vol. 11, no. 2, 2020, pp. 297–309. Cambridge Core,</w:t>
      </w:r>
      <w:hyperlink r:id="rId6">
        <w:r w:rsidDel="00000000" w:rsidR="00000000" w:rsidRPr="00000000">
          <w:rPr>
            <w:rFonts w:ascii="Times New Roman" w:cs="Times New Roman" w:eastAsia="Times New Roman" w:hAnsi="Times New Roman"/>
            <w:color w:val="1c1917"/>
            <w:sz w:val="24"/>
            <w:szCs w:val="24"/>
            <w:rtl w:val="0"/>
          </w:rPr>
          <w:t xml:space="preserve"> </w:t>
        </w:r>
      </w:hyperlink>
      <w:hyperlink r:id="rId7">
        <w:r w:rsidDel="00000000" w:rsidR="00000000" w:rsidRPr="00000000">
          <w:rPr>
            <w:rFonts w:ascii="Times New Roman" w:cs="Times New Roman" w:eastAsia="Times New Roman" w:hAnsi="Times New Roman"/>
            <w:color w:val="504a93"/>
            <w:sz w:val="24"/>
            <w:szCs w:val="24"/>
            <w:rtl w:val="0"/>
          </w:rPr>
          <w:t xml:space="preserve">https://www.cambridge.org/core/journals/european-journal-of-risk-regulation/article/towards-intelligent-regulation-of-artificial-intelligence/AF1AD1940B70DB88D2B24202EE933F1B</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9E">
      <w:pPr>
        <w:pBdr>
          <w:top w:color="ffffff" w:space="0" w:sz="8" w:val="single"/>
          <w:left w:color="ffffff" w:space="0" w:sz="8" w:val="single"/>
          <w:bottom w:color="ffffff" w:space="0" w:sz="8" w:val="single"/>
          <w:right w:color="ffffff" w:space="0" w:sz="8" w:val="singl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Janssen, Marijn, and George Kuk. “The Challenges and Limits of Algorithmic Decision Making in Public Administration.” Journal of Information Technology &amp; Politics, vol. 16, no. 3, 2019, pp. 238–251. Taylor &amp; Francis Online,</w:t>
      </w:r>
      <w:hyperlink r:id="rId8">
        <w:r w:rsidDel="00000000" w:rsidR="00000000" w:rsidRPr="00000000">
          <w:rPr>
            <w:rFonts w:ascii="Times New Roman" w:cs="Times New Roman" w:eastAsia="Times New Roman" w:hAnsi="Times New Roman"/>
            <w:color w:val="1c1917"/>
            <w:sz w:val="24"/>
            <w:szCs w:val="24"/>
            <w:rtl w:val="0"/>
          </w:rPr>
          <w:t xml:space="preserve"> </w:t>
        </w:r>
      </w:hyperlink>
      <w:hyperlink r:id="rId9">
        <w:r w:rsidDel="00000000" w:rsidR="00000000" w:rsidRPr="00000000">
          <w:rPr>
            <w:rFonts w:ascii="Times New Roman" w:cs="Times New Roman" w:eastAsia="Times New Roman" w:hAnsi="Times New Roman"/>
            <w:color w:val="504a93"/>
            <w:sz w:val="24"/>
            <w:szCs w:val="24"/>
            <w:rtl w:val="0"/>
          </w:rPr>
          <w:t xml:space="preserve">https://www.tandfonline.com/doi/full/10.1080/19331681.2019.1613260</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Kandasamy, Nimalan, et al. “Artificial Intelligence as an Enabling Tool for the Development of Dynamic Capabilities in the Banking Industry.” IGI Global, 2020, pp. 259369. IGI Global,</w:t>
      </w:r>
      <w:hyperlink r:id="rId10">
        <w:r w:rsidDel="00000000" w:rsidR="00000000" w:rsidRPr="00000000">
          <w:rPr>
            <w:rFonts w:ascii="Times New Roman" w:cs="Times New Roman" w:eastAsia="Times New Roman" w:hAnsi="Times New Roman"/>
            <w:color w:val="1c1917"/>
            <w:sz w:val="24"/>
            <w:szCs w:val="24"/>
            <w:rtl w:val="0"/>
          </w:rPr>
          <w:t xml:space="preserve"> </w:t>
        </w:r>
      </w:hyperlink>
      <w:hyperlink r:id="rId11">
        <w:r w:rsidDel="00000000" w:rsidR="00000000" w:rsidRPr="00000000">
          <w:rPr>
            <w:rFonts w:ascii="Times New Roman" w:cs="Times New Roman" w:eastAsia="Times New Roman" w:hAnsi="Times New Roman"/>
            <w:color w:val="504a93"/>
            <w:sz w:val="24"/>
            <w:szCs w:val="24"/>
            <w:rtl w:val="0"/>
          </w:rPr>
          <w:t xml:space="preserve">https://www.igi-global.com/article/artificial-intelligence-as-an-enabling-tool-for-the-development-of-dynamic-capabilities-in-the-banking-industry/259369</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Merkle, Ralph, et al. “Artificial Intelligence, Data Protection and Human Dignity.” International Journal of Law and Information Technology, vol. 28, no. 3, 2020, pp. 218–243. Oxford Academic,</w:t>
      </w:r>
      <w:hyperlink r:id="rId12">
        <w:r w:rsidDel="00000000" w:rsidR="00000000" w:rsidRPr="00000000">
          <w:rPr>
            <w:rFonts w:ascii="Times New Roman" w:cs="Times New Roman" w:eastAsia="Times New Roman" w:hAnsi="Times New Roman"/>
            <w:color w:val="1c1917"/>
            <w:sz w:val="24"/>
            <w:szCs w:val="24"/>
            <w:rtl w:val="0"/>
          </w:rPr>
          <w:t xml:space="preserve"> </w:t>
        </w:r>
      </w:hyperlink>
      <w:hyperlink r:id="rId13">
        <w:r w:rsidDel="00000000" w:rsidR="00000000" w:rsidRPr="00000000">
          <w:rPr>
            <w:rFonts w:ascii="Times New Roman" w:cs="Times New Roman" w:eastAsia="Times New Roman" w:hAnsi="Times New Roman"/>
            <w:color w:val="504a93"/>
            <w:sz w:val="24"/>
            <w:szCs w:val="24"/>
            <w:rtl w:val="0"/>
          </w:rPr>
          <w:t xml:space="preserve">https://doi.org/10.1093/ijlit/eaz014</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Pachidi, Stella, et al. “Towards Intelligent Regulation of Artificial Intelligence.” Technological Forecasting and Social Change, vol. 177, 2022, pp. 121550. ScienceDirect,</w:t>
      </w:r>
      <w:hyperlink r:id="rId14">
        <w:r w:rsidDel="00000000" w:rsidR="00000000" w:rsidRPr="00000000">
          <w:rPr>
            <w:rFonts w:ascii="Times New Roman" w:cs="Times New Roman" w:eastAsia="Times New Roman" w:hAnsi="Times New Roman"/>
            <w:color w:val="1c1917"/>
            <w:sz w:val="24"/>
            <w:szCs w:val="24"/>
            <w:rtl w:val="0"/>
          </w:rPr>
          <w:t xml:space="preserve"> </w:t>
        </w:r>
      </w:hyperlink>
      <w:hyperlink r:id="rId15">
        <w:r w:rsidDel="00000000" w:rsidR="00000000" w:rsidRPr="00000000">
          <w:rPr>
            <w:rFonts w:ascii="Times New Roman" w:cs="Times New Roman" w:eastAsia="Times New Roman" w:hAnsi="Times New Roman"/>
            <w:color w:val="504a93"/>
            <w:sz w:val="24"/>
            <w:szCs w:val="24"/>
            <w:rtl w:val="0"/>
          </w:rPr>
          <w:t xml:space="preserve">https://www.sciencedirect.com/science/article/pii/S0160791X21003183</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Russell, Stuart J., and Peter Norvig. “Artificial Intelligence as an Enabling Technology in Banking.” AI-Enabled Banking Services, edited by Surya Ranganathan et al., Springer, 2022, pp. 45–67. Springer Link,</w:t>
      </w:r>
      <w:hyperlink r:id="rId16">
        <w:r w:rsidDel="00000000" w:rsidR="00000000" w:rsidRPr="00000000">
          <w:rPr>
            <w:rFonts w:ascii="Times New Roman" w:cs="Times New Roman" w:eastAsia="Times New Roman" w:hAnsi="Times New Roman"/>
            <w:color w:val="1c1917"/>
            <w:sz w:val="24"/>
            <w:szCs w:val="24"/>
            <w:rtl w:val="0"/>
          </w:rPr>
          <w:t xml:space="preserve"> </w:t>
        </w:r>
      </w:hyperlink>
      <w:hyperlink r:id="rId17">
        <w:r w:rsidDel="00000000" w:rsidR="00000000" w:rsidRPr="00000000">
          <w:rPr>
            <w:rFonts w:ascii="Times New Roman" w:cs="Times New Roman" w:eastAsia="Times New Roman" w:hAnsi="Times New Roman"/>
            <w:color w:val="504a93"/>
            <w:sz w:val="24"/>
            <w:szCs w:val="24"/>
            <w:rtl w:val="0"/>
          </w:rPr>
          <w:t xml:space="preserve">https://link.springer.com/chapter/10.1007/978-981-13-2874-9\_4</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Smuha, Nadezhda A. “From a ‘Race to AI’ to a ‘Race to AI Regulation’: Regulatory Competition for Artificial Intelligence.” Law, Innovation and Technology, vol. 13, no. 1, 2021, pp. 57–84. Taylor &amp; Francis Online,</w:t>
      </w:r>
      <w:hyperlink r:id="rId18">
        <w:r w:rsidDel="00000000" w:rsidR="00000000" w:rsidRPr="00000000">
          <w:rPr>
            <w:rFonts w:ascii="Times New Roman" w:cs="Times New Roman" w:eastAsia="Times New Roman" w:hAnsi="Times New Roman"/>
            <w:color w:val="1c1917"/>
            <w:sz w:val="24"/>
            <w:szCs w:val="24"/>
            <w:rtl w:val="0"/>
          </w:rPr>
          <w:t xml:space="preserve"> </w:t>
        </w:r>
      </w:hyperlink>
      <w:hyperlink r:id="rId19">
        <w:r w:rsidDel="00000000" w:rsidR="00000000" w:rsidRPr="00000000">
          <w:rPr>
            <w:rFonts w:ascii="Times New Roman" w:cs="Times New Roman" w:eastAsia="Times New Roman" w:hAnsi="Times New Roman"/>
            <w:color w:val="504a93"/>
            <w:sz w:val="24"/>
            <w:szCs w:val="24"/>
            <w:rtl w:val="0"/>
          </w:rPr>
          <w:t xml:space="preserve">https://www.tandfonline.com/doi/full/10.1080/17579961.2021.1898300</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Zhou, Lihuan, et al. “Artificial Intelligence in Human Resources Management: A Conceptual Exploration.” International Journal of Intelligent Unmanned Systems, vol. 7, no. 2, 2019, pp. 69-88. Emerald Insight,</w:t>
      </w:r>
      <w:hyperlink r:id="rId20">
        <w:r w:rsidDel="00000000" w:rsidR="00000000" w:rsidRPr="00000000">
          <w:rPr>
            <w:rFonts w:ascii="Times New Roman" w:cs="Times New Roman" w:eastAsia="Times New Roman" w:hAnsi="Times New Roman"/>
            <w:color w:val="1c1917"/>
            <w:sz w:val="24"/>
            <w:szCs w:val="24"/>
            <w:rtl w:val="0"/>
          </w:rPr>
          <w:t xml:space="preserve"> </w:t>
        </w:r>
      </w:hyperlink>
      <w:hyperlink r:id="rId21">
        <w:r w:rsidDel="00000000" w:rsidR="00000000" w:rsidRPr="00000000">
          <w:rPr>
            <w:rFonts w:ascii="Times New Roman" w:cs="Times New Roman" w:eastAsia="Times New Roman" w:hAnsi="Times New Roman"/>
            <w:color w:val="9995cb"/>
            <w:sz w:val="24"/>
            <w:szCs w:val="24"/>
            <w:rtl w:val="0"/>
          </w:rPr>
          <w:t xml:space="preserve">https://www.emerald.com/insight/content/doi/10.1108/IJIUS-09-2019-0051/full/html</w:t>
        </w:r>
      </w:hyperlink>
      <w:r w:rsidDel="00000000" w:rsidR="00000000" w:rsidRPr="00000000">
        <w:rPr>
          <w:rFonts w:ascii="Times New Roman" w:cs="Times New Roman" w:eastAsia="Times New Roman" w:hAnsi="Times New Roman"/>
          <w:color w:val="1c1917"/>
          <w:sz w:val="24"/>
          <w:szCs w:val="24"/>
          <w:rtl w:val="0"/>
        </w:rPr>
        <w:t xml:space="preserve">. Accessed 14 July 2023.</w:t>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7314453125" w:line="360" w:lineRule="auto"/>
        <w:ind w:left="15.479812622070312" w:right="0" w:firstLine="0"/>
        <w:jc w:val="left"/>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footerReference r:id="rId24" w:type="first"/>
      <w:pgSz w:h="16840" w:w="11900" w:orient="portrait"/>
      <w:pgMar w:bottom="605.631103515625" w:top="545.99365234375" w:left="663.3665466308594" w:right="647.02880859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rFonts w:ascii="Times New Roman" w:cs="Times New Roman" w:eastAsia="Times New Roman" w:hAnsi="Times New Roman"/>
        <w:color w:val="2b2b2b"/>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spacing w:line="360" w:lineRule="auto"/>
      <w:ind w:left="25.28656005859375" w:right="101.61865234375" w:hanging="22.812347412109375"/>
      <w:rPr>
        <w:rFonts w:ascii="Times New Roman" w:cs="Times New Roman" w:eastAsia="Times New Roman" w:hAnsi="Times New Roman"/>
        <w:color w:val="2b2b2b"/>
        <w:sz w:val="30"/>
        <w:szCs w:val="30"/>
      </w:rPr>
    </w:pPr>
    <w:r w:rsidDel="00000000" w:rsidR="00000000" w:rsidRPr="00000000">
      <w:rPr>
        <w:rFonts w:ascii="Times New Roman" w:cs="Times New Roman" w:eastAsia="Times New Roman" w:hAnsi="Times New Roman"/>
        <w:color w:val="2b2b2b"/>
        <w:sz w:val="30"/>
        <w:szCs w:val="30"/>
        <w:rtl w:val="0"/>
      </w:rPr>
      <w:t xml:space="preserve">Treaty: Dynamic Regulation and Monitoring for Artificial Intelligence (AI) </w:t>
    </w:r>
  </w:p>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merald.com/insight/content/doi/10.1108/IJIUS-09-2019-0051/full/html" TargetMode="External"/><Relationship Id="rId11" Type="http://schemas.openxmlformats.org/officeDocument/2006/relationships/hyperlink" Target="https://www.igi-global.com/article/artificial-intelligence-as-an-enabling-tool-for-the-development-of-dynamic-capabilities-in-the-banking-industry/259369" TargetMode="External"/><Relationship Id="rId22" Type="http://schemas.openxmlformats.org/officeDocument/2006/relationships/header" Target="header1.xml"/><Relationship Id="rId10" Type="http://schemas.openxmlformats.org/officeDocument/2006/relationships/hyperlink" Target="https://www.igi-global.com/article/artificial-intelligence-as-an-enabling-tool-for-the-development-of-dynamic-capabilities-in-the-banking-industry/259369" TargetMode="External"/><Relationship Id="rId21" Type="http://schemas.openxmlformats.org/officeDocument/2006/relationships/hyperlink" Target="https://www.emerald.com/insight/content/doi/10.1108/IJIUS-09-2019-0051/full/html" TargetMode="External"/><Relationship Id="rId13" Type="http://schemas.openxmlformats.org/officeDocument/2006/relationships/hyperlink" Target="https://doi.org/10.1093/ijlit/eaz014" TargetMode="External"/><Relationship Id="rId24" Type="http://schemas.openxmlformats.org/officeDocument/2006/relationships/footer" Target="footer1.xml"/><Relationship Id="rId12" Type="http://schemas.openxmlformats.org/officeDocument/2006/relationships/hyperlink" Target="https://doi.org/10.1093/ijlit/eaz014"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full/10.1080/19331681.2019.1613260" TargetMode="External"/><Relationship Id="rId15" Type="http://schemas.openxmlformats.org/officeDocument/2006/relationships/hyperlink" Target="https://www.sciencedirect.com/science/article/pii/S0160791X21003183" TargetMode="External"/><Relationship Id="rId14" Type="http://schemas.openxmlformats.org/officeDocument/2006/relationships/hyperlink" Target="https://www.sciencedirect.com/science/article/pii/S0160791X21003183" TargetMode="External"/><Relationship Id="rId17" Type="http://schemas.openxmlformats.org/officeDocument/2006/relationships/hyperlink" Target="https://link.springer.com/chapter/10.1007/978-981-13-2874-9%5C_4" TargetMode="External"/><Relationship Id="rId16" Type="http://schemas.openxmlformats.org/officeDocument/2006/relationships/hyperlink" Target="https://link.springer.com/chapter/10.1007/978-981-13-2874-9%5C_4" TargetMode="External"/><Relationship Id="rId5" Type="http://schemas.openxmlformats.org/officeDocument/2006/relationships/styles" Target="styles.xml"/><Relationship Id="rId19" Type="http://schemas.openxmlformats.org/officeDocument/2006/relationships/hyperlink" Target="https://www.tandfonline.com/doi/full/10.1080/17579961.2021.1898300" TargetMode="External"/><Relationship Id="rId6" Type="http://schemas.openxmlformats.org/officeDocument/2006/relationships/hyperlink" Target="https://www.cambridge.org/core/journals/european-journal-of-risk-regulation/article/towards-intelligent-regulation-of-artificial-intelligence/AF1AD1940B70DB88D2B24202EE933F1B" TargetMode="External"/><Relationship Id="rId18" Type="http://schemas.openxmlformats.org/officeDocument/2006/relationships/hyperlink" Target="https://www.tandfonline.com/doi/full/10.1080/17579961.2021.1898300" TargetMode="External"/><Relationship Id="rId7" Type="http://schemas.openxmlformats.org/officeDocument/2006/relationships/hyperlink" Target="https://www.cambridge.org/core/journals/european-journal-of-risk-regulation/article/towards-intelligent-regulation-of-artificial-intelligence/AF1AD1940B70DB88D2B24202EE933F1B" TargetMode="External"/><Relationship Id="rId8" Type="http://schemas.openxmlformats.org/officeDocument/2006/relationships/hyperlink" Target="https://www.tandfonline.com/doi/full/10.1080/19331681.2019.1613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