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21954" w14:textId="06411F7F" w:rsidR="00EB168D" w:rsidRPr="00833114" w:rsidRDefault="00EB168D" w:rsidP="00657309">
      <w:pPr>
        <w:rPr>
          <w:rFonts w:ascii="Times New Roman" w:hAnsi="Times New Roman" w:cs="Times New Roman"/>
        </w:rPr>
      </w:pPr>
      <w:r w:rsidRPr="00833114">
        <w:rPr>
          <w:rFonts w:ascii="Times New Roman" w:hAnsi="Times New Roman" w:cs="Times New Roman"/>
        </w:rPr>
        <w:t xml:space="preserve">The Parties to this Agreement, </w:t>
      </w:r>
    </w:p>
    <w:p w14:paraId="31871056" w14:textId="77777777" w:rsidR="00EB168D" w:rsidRPr="00833114" w:rsidRDefault="00EB168D" w:rsidP="00657309">
      <w:pPr>
        <w:rPr>
          <w:rFonts w:ascii="Times New Roman" w:hAnsi="Times New Roman" w:cs="Times New Roman"/>
        </w:rPr>
      </w:pPr>
    </w:p>
    <w:p w14:paraId="5B50E6B4" w14:textId="75728D58" w:rsidR="00973CF5" w:rsidRPr="00833114" w:rsidRDefault="00341CE5" w:rsidP="00657309">
      <w:pPr>
        <w:rPr>
          <w:rFonts w:ascii="Times New Roman" w:hAnsi="Times New Roman" w:cs="Times New Roman"/>
          <w:i/>
          <w:iCs/>
        </w:rPr>
      </w:pPr>
      <w:r w:rsidRPr="00833114">
        <w:rPr>
          <w:rFonts w:ascii="Times New Roman" w:hAnsi="Times New Roman" w:cs="Times New Roman"/>
        </w:rPr>
        <w:t>Recognizing</w:t>
      </w:r>
      <w:r w:rsidR="00910025" w:rsidRPr="00833114">
        <w:rPr>
          <w:rFonts w:ascii="Times New Roman" w:hAnsi="Times New Roman" w:cs="Times New Roman"/>
        </w:rPr>
        <w:t xml:space="preserve"> the dangers of </w:t>
      </w:r>
      <w:r w:rsidR="00117B42" w:rsidRPr="00833114">
        <w:rPr>
          <w:rFonts w:ascii="Times New Roman" w:hAnsi="Times New Roman" w:cs="Times New Roman"/>
        </w:rPr>
        <w:t xml:space="preserve">artificial intelligence, hereinafter referred to as AI, </w:t>
      </w:r>
      <w:r w:rsidR="00396887" w:rsidRPr="00833114">
        <w:rPr>
          <w:rFonts w:ascii="Times New Roman" w:hAnsi="Times New Roman" w:cs="Times New Roman"/>
        </w:rPr>
        <w:t>to both the social and economic</w:t>
      </w:r>
      <w:r w:rsidR="00910025" w:rsidRPr="00833114">
        <w:rPr>
          <w:rFonts w:ascii="Times New Roman" w:hAnsi="Times New Roman" w:cs="Times New Roman"/>
        </w:rPr>
        <w:t xml:space="preserve"> </w:t>
      </w:r>
      <w:r w:rsidR="00396887" w:rsidRPr="00833114">
        <w:rPr>
          <w:rFonts w:ascii="Times New Roman" w:hAnsi="Times New Roman" w:cs="Times New Roman"/>
        </w:rPr>
        <w:t xml:space="preserve">welfare of the planet </w:t>
      </w:r>
      <w:r w:rsidR="00AF3D81" w:rsidRPr="00833114">
        <w:rPr>
          <w:rFonts w:ascii="Times New Roman" w:hAnsi="Times New Roman" w:cs="Times New Roman"/>
        </w:rPr>
        <w:t xml:space="preserve">as well as the urgent need to </w:t>
      </w:r>
      <w:r w:rsidR="003B6DD5" w:rsidRPr="00833114">
        <w:rPr>
          <w:rFonts w:ascii="Times New Roman" w:hAnsi="Times New Roman" w:cs="Times New Roman"/>
        </w:rPr>
        <w:t>stall</w:t>
      </w:r>
      <w:r w:rsidR="001C1E0B" w:rsidRPr="00833114">
        <w:rPr>
          <w:rFonts w:ascii="Times New Roman" w:hAnsi="Times New Roman" w:cs="Times New Roman"/>
        </w:rPr>
        <w:t xml:space="preserve"> its breakneck development in order to </w:t>
      </w:r>
      <w:r w:rsidR="003B6DD5" w:rsidRPr="00833114">
        <w:rPr>
          <w:rFonts w:ascii="Times New Roman" w:hAnsi="Times New Roman" w:cs="Times New Roman"/>
        </w:rPr>
        <w:t>ensure the general safety of soci</w:t>
      </w:r>
      <w:r w:rsidR="00FE6D20" w:rsidRPr="00833114">
        <w:rPr>
          <w:rFonts w:ascii="Times New Roman" w:hAnsi="Times New Roman" w:cs="Times New Roman"/>
        </w:rPr>
        <w:t>ety</w:t>
      </w:r>
      <w:r w:rsidR="008F6BAE" w:rsidRPr="00833114">
        <w:rPr>
          <w:rFonts w:ascii="Times New Roman" w:hAnsi="Times New Roman" w:cs="Times New Roman"/>
        </w:rPr>
        <w:t>,</w:t>
      </w:r>
      <w:r w:rsidR="00FE6D20" w:rsidRPr="00833114">
        <w:rPr>
          <w:rFonts w:ascii="Times New Roman" w:hAnsi="Times New Roman" w:cs="Times New Roman"/>
        </w:rPr>
        <w:t xml:space="preserve"> </w:t>
      </w:r>
    </w:p>
    <w:p w14:paraId="51061EE4" w14:textId="77777777" w:rsidR="00C876A9" w:rsidRPr="00833114" w:rsidRDefault="00C876A9" w:rsidP="00657309">
      <w:pPr>
        <w:rPr>
          <w:rFonts w:ascii="Times New Roman" w:hAnsi="Times New Roman" w:cs="Times New Roman"/>
        </w:rPr>
      </w:pPr>
    </w:p>
    <w:p w14:paraId="793C79FF" w14:textId="46A55F0E" w:rsidR="00C876A9" w:rsidRPr="00833114" w:rsidRDefault="0055732E" w:rsidP="00657309">
      <w:pPr>
        <w:rPr>
          <w:rFonts w:ascii="Times New Roman" w:hAnsi="Times New Roman" w:cs="Times New Roman"/>
        </w:rPr>
      </w:pPr>
      <w:r w:rsidRPr="00833114">
        <w:rPr>
          <w:rFonts w:ascii="Times New Roman" w:hAnsi="Times New Roman" w:cs="Times New Roman"/>
        </w:rPr>
        <w:t xml:space="preserve">Also recognizing the lack of </w:t>
      </w:r>
      <w:r w:rsidR="00882D9B" w:rsidRPr="00833114">
        <w:rPr>
          <w:rFonts w:ascii="Times New Roman" w:hAnsi="Times New Roman" w:cs="Times New Roman"/>
        </w:rPr>
        <w:t xml:space="preserve">sufficient oversight expended upon AI </w:t>
      </w:r>
      <w:r w:rsidR="009D241B" w:rsidRPr="00833114">
        <w:rPr>
          <w:rFonts w:ascii="Times New Roman" w:hAnsi="Times New Roman" w:cs="Times New Roman"/>
        </w:rPr>
        <w:t xml:space="preserve">and the consequent unpredictability surrounding </w:t>
      </w:r>
      <w:r w:rsidR="00951D5B" w:rsidRPr="00833114">
        <w:rPr>
          <w:rFonts w:ascii="Times New Roman" w:hAnsi="Times New Roman" w:cs="Times New Roman"/>
        </w:rPr>
        <w:t>its behavior</w:t>
      </w:r>
      <w:r w:rsidR="008F6BAE" w:rsidRPr="00833114">
        <w:rPr>
          <w:rFonts w:ascii="Times New Roman" w:hAnsi="Times New Roman" w:cs="Times New Roman"/>
        </w:rPr>
        <w:t>,</w:t>
      </w:r>
      <w:r w:rsidR="00951D5B" w:rsidRPr="00833114">
        <w:rPr>
          <w:rFonts w:ascii="Times New Roman" w:hAnsi="Times New Roman" w:cs="Times New Roman"/>
        </w:rPr>
        <w:t xml:space="preserve"> </w:t>
      </w:r>
    </w:p>
    <w:p w14:paraId="31D28B14" w14:textId="77777777" w:rsidR="00C62249" w:rsidRPr="00833114" w:rsidRDefault="00C62249" w:rsidP="00657309">
      <w:pPr>
        <w:rPr>
          <w:rFonts w:ascii="Times New Roman" w:hAnsi="Times New Roman" w:cs="Times New Roman"/>
        </w:rPr>
      </w:pPr>
    </w:p>
    <w:p w14:paraId="0D056059" w14:textId="513C801D" w:rsidR="00C62249" w:rsidRPr="00833114" w:rsidRDefault="00B551AC" w:rsidP="00657309">
      <w:pPr>
        <w:rPr>
          <w:rFonts w:ascii="Times New Roman" w:hAnsi="Times New Roman" w:cs="Times New Roman"/>
        </w:rPr>
      </w:pPr>
      <w:r w:rsidRPr="00833114">
        <w:rPr>
          <w:rFonts w:ascii="Times New Roman" w:hAnsi="Times New Roman" w:cs="Times New Roman"/>
        </w:rPr>
        <w:t xml:space="preserve">Gravely </w:t>
      </w:r>
      <w:r w:rsidR="00C62249" w:rsidRPr="00833114">
        <w:rPr>
          <w:rFonts w:ascii="Times New Roman" w:hAnsi="Times New Roman" w:cs="Times New Roman"/>
        </w:rPr>
        <w:t xml:space="preserve">concerned with the </w:t>
      </w:r>
      <w:r w:rsidR="008C0FCC" w:rsidRPr="00833114">
        <w:rPr>
          <w:rFonts w:ascii="Times New Roman" w:hAnsi="Times New Roman" w:cs="Times New Roman"/>
        </w:rPr>
        <w:t xml:space="preserve">amplification of pre-existing </w:t>
      </w:r>
      <w:r w:rsidR="00E6531F" w:rsidRPr="00833114">
        <w:rPr>
          <w:rFonts w:ascii="Times New Roman" w:hAnsi="Times New Roman" w:cs="Times New Roman"/>
        </w:rPr>
        <w:t xml:space="preserve">socioeconomic biases </w:t>
      </w:r>
      <w:r w:rsidR="00EC1090" w:rsidRPr="00833114">
        <w:rPr>
          <w:rFonts w:ascii="Times New Roman" w:hAnsi="Times New Roman" w:cs="Times New Roman"/>
        </w:rPr>
        <w:t xml:space="preserve">due to obscurities </w:t>
      </w:r>
      <w:r w:rsidR="00FB443B" w:rsidRPr="00833114">
        <w:rPr>
          <w:rFonts w:ascii="Times New Roman" w:hAnsi="Times New Roman" w:cs="Times New Roman"/>
        </w:rPr>
        <w:t xml:space="preserve">in the decision-making </w:t>
      </w:r>
      <w:r w:rsidR="00DE1B1B" w:rsidRPr="00833114">
        <w:rPr>
          <w:rFonts w:ascii="Times New Roman" w:hAnsi="Times New Roman" w:cs="Times New Roman"/>
        </w:rPr>
        <w:t>process as</w:t>
      </w:r>
      <w:r w:rsidR="00364612" w:rsidRPr="00833114">
        <w:rPr>
          <w:rFonts w:ascii="Times New Roman" w:hAnsi="Times New Roman" w:cs="Times New Roman"/>
        </w:rPr>
        <w:t xml:space="preserve"> well as </w:t>
      </w:r>
      <w:r w:rsidR="005C6FBE" w:rsidRPr="00833114">
        <w:rPr>
          <w:rFonts w:ascii="Times New Roman" w:hAnsi="Times New Roman" w:cs="Times New Roman"/>
        </w:rPr>
        <w:t>stringent risks in the areas of ethics, privacy, and security</w:t>
      </w:r>
      <w:r w:rsidR="008F6BAE" w:rsidRPr="00833114">
        <w:rPr>
          <w:rFonts w:ascii="Times New Roman" w:hAnsi="Times New Roman" w:cs="Times New Roman"/>
        </w:rPr>
        <w:t>,</w:t>
      </w:r>
      <w:r w:rsidR="005C6FBE" w:rsidRPr="00833114">
        <w:rPr>
          <w:rFonts w:ascii="Times New Roman" w:hAnsi="Times New Roman" w:cs="Times New Roman"/>
        </w:rPr>
        <w:t xml:space="preserve"> </w:t>
      </w:r>
    </w:p>
    <w:p w14:paraId="203D0F4C" w14:textId="77777777" w:rsidR="005407D0" w:rsidRPr="00833114" w:rsidRDefault="005407D0" w:rsidP="00657309">
      <w:pPr>
        <w:rPr>
          <w:rFonts w:ascii="Times New Roman" w:hAnsi="Times New Roman" w:cs="Times New Roman"/>
        </w:rPr>
      </w:pPr>
    </w:p>
    <w:p w14:paraId="0DE009D1" w14:textId="190BC52F" w:rsidR="00501949" w:rsidRPr="00833114" w:rsidRDefault="005407D0" w:rsidP="00657309">
      <w:pPr>
        <w:rPr>
          <w:rFonts w:ascii="Times New Roman" w:hAnsi="Times New Roman" w:cs="Times New Roman"/>
        </w:rPr>
      </w:pPr>
      <w:r w:rsidRPr="00833114">
        <w:rPr>
          <w:rFonts w:ascii="Times New Roman" w:hAnsi="Times New Roman" w:cs="Times New Roman"/>
        </w:rPr>
        <w:t xml:space="preserve">Deeply </w:t>
      </w:r>
      <w:r w:rsidR="004172B3" w:rsidRPr="00833114">
        <w:rPr>
          <w:rFonts w:ascii="Times New Roman" w:hAnsi="Times New Roman" w:cs="Times New Roman"/>
        </w:rPr>
        <w:t xml:space="preserve">concerned with the development of </w:t>
      </w:r>
      <w:r w:rsidR="0039582C" w:rsidRPr="00833114">
        <w:rPr>
          <w:rFonts w:ascii="Times New Roman" w:hAnsi="Times New Roman" w:cs="Times New Roman"/>
        </w:rPr>
        <w:t xml:space="preserve">GPU &amp; TPU farms due to their being tools that proliferate the development of </w:t>
      </w:r>
      <w:r w:rsidR="005F6511" w:rsidRPr="00833114">
        <w:rPr>
          <w:rFonts w:ascii="Times New Roman" w:hAnsi="Times New Roman" w:cs="Times New Roman"/>
        </w:rPr>
        <w:t xml:space="preserve">highly advanced, and therefore potentially harmful </w:t>
      </w:r>
      <w:r w:rsidR="0039582C" w:rsidRPr="00833114">
        <w:rPr>
          <w:rFonts w:ascii="Times New Roman" w:hAnsi="Times New Roman" w:cs="Times New Roman"/>
        </w:rPr>
        <w:t>AI</w:t>
      </w:r>
      <w:r w:rsidR="008F6BAE" w:rsidRPr="00833114">
        <w:rPr>
          <w:rFonts w:ascii="Times New Roman" w:hAnsi="Times New Roman" w:cs="Times New Roman"/>
        </w:rPr>
        <w:t>,</w:t>
      </w:r>
      <w:r w:rsidR="0039582C" w:rsidRPr="00833114">
        <w:rPr>
          <w:rFonts w:ascii="Times New Roman" w:hAnsi="Times New Roman" w:cs="Times New Roman"/>
        </w:rPr>
        <w:t xml:space="preserve"> </w:t>
      </w:r>
    </w:p>
    <w:p w14:paraId="7C9F3175" w14:textId="77777777" w:rsidR="00A528AF" w:rsidRPr="00833114" w:rsidRDefault="00A528AF" w:rsidP="00657309">
      <w:pPr>
        <w:rPr>
          <w:rFonts w:ascii="Times New Roman" w:hAnsi="Times New Roman" w:cs="Times New Roman"/>
        </w:rPr>
      </w:pPr>
    </w:p>
    <w:p w14:paraId="6C889346" w14:textId="73985E15" w:rsidR="00A528AF" w:rsidRPr="00833114" w:rsidRDefault="00A528AF" w:rsidP="00657309">
      <w:pPr>
        <w:rPr>
          <w:rFonts w:ascii="Times New Roman" w:hAnsi="Times New Roman" w:cs="Times New Roman"/>
        </w:rPr>
      </w:pPr>
      <w:r w:rsidRPr="00833114">
        <w:rPr>
          <w:rFonts w:ascii="Times New Roman" w:hAnsi="Times New Roman" w:cs="Times New Roman"/>
        </w:rPr>
        <w:t xml:space="preserve">Recognizing that </w:t>
      </w:r>
      <w:r w:rsidR="00D41F13" w:rsidRPr="00833114">
        <w:rPr>
          <w:rFonts w:ascii="Times New Roman" w:hAnsi="Times New Roman" w:cs="Times New Roman"/>
        </w:rPr>
        <w:t xml:space="preserve">the development of </w:t>
      </w:r>
      <w:r w:rsidR="0047575D" w:rsidRPr="00833114">
        <w:rPr>
          <w:rFonts w:ascii="Times New Roman" w:hAnsi="Times New Roman" w:cs="Times New Roman"/>
        </w:rPr>
        <w:t xml:space="preserve">artificial general intelligence (AGI) </w:t>
      </w:r>
      <w:r w:rsidR="00BD2B38" w:rsidRPr="00833114">
        <w:rPr>
          <w:rFonts w:ascii="Times New Roman" w:hAnsi="Times New Roman" w:cs="Times New Roman"/>
        </w:rPr>
        <w:t xml:space="preserve">or </w:t>
      </w:r>
      <w:r w:rsidR="0047575D" w:rsidRPr="00833114">
        <w:rPr>
          <w:rFonts w:ascii="Times New Roman" w:hAnsi="Times New Roman" w:cs="Times New Roman"/>
        </w:rPr>
        <w:t>artificial super intelligence (</w:t>
      </w:r>
      <w:r w:rsidR="00BD2B38" w:rsidRPr="00833114">
        <w:rPr>
          <w:rFonts w:ascii="Times New Roman" w:hAnsi="Times New Roman" w:cs="Times New Roman"/>
        </w:rPr>
        <w:t>ASI</w:t>
      </w:r>
      <w:r w:rsidR="0047575D" w:rsidRPr="00833114">
        <w:rPr>
          <w:rFonts w:ascii="Times New Roman" w:hAnsi="Times New Roman" w:cs="Times New Roman"/>
        </w:rPr>
        <w:t>)</w:t>
      </w:r>
      <w:r w:rsidR="00624DF2" w:rsidRPr="00833114">
        <w:rPr>
          <w:rFonts w:ascii="Times New Roman" w:hAnsi="Times New Roman" w:cs="Times New Roman"/>
        </w:rPr>
        <w:t xml:space="preserve"> in an unrestricted manner</w:t>
      </w:r>
      <w:r w:rsidR="00BD2B38" w:rsidRPr="00833114">
        <w:rPr>
          <w:rFonts w:ascii="Times New Roman" w:hAnsi="Times New Roman" w:cs="Times New Roman"/>
        </w:rPr>
        <w:t xml:space="preserve"> could potentially result in rogue AI that pose </w:t>
      </w:r>
      <w:r w:rsidR="0047575D" w:rsidRPr="00833114">
        <w:rPr>
          <w:rFonts w:ascii="Times New Roman" w:hAnsi="Times New Roman" w:cs="Times New Roman"/>
        </w:rPr>
        <w:t>existential threats to the human civilizati</w:t>
      </w:r>
      <w:r w:rsidR="00624DF2" w:rsidRPr="00833114">
        <w:rPr>
          <w:rFonts w:ascii="Times New Roman" w:hAnsi="Times New Roman" w:cs="Times New Roman"/>
        </w:rPr>
        <w:t>on</w:t>
      </w:r>
      <w:r w:rsidR="008F6BAE" w:rsidRPr="00833114">
        <w:rPr>
          <w:rFonts w:ascii="Times New Roman" w:hAnsi="Times New Roman" w:cs="Times New Roman"/>
        </w:rPr>
        <w:t>,</w:t>
      </w:r>
    </w:p>
    <w:p w14:paraId="703659C0" w14:textId="77777777" w:rsidR="009F671D" w:rsidRPr="00833114" w:rsidRDefault="009F671D" w:rsidP="00657309">
      <w:pPr>
        <w:rPr>
          <w:rFonts w:ascii="Times New Roman" w:hAnsi="Times New Roman" w:cs="Times New Roman"/>
        </w:rPr>
      </w:pPr>
    </w:p>
    <w:p w14:paraId="493FCAF6" w14:textId="375E4CCE" w:rsidR="009F671D" w:rsidRPr="00833114" w:rsidRDefault="009F671D" w:rsidP="00657309">
      <w:pPr>
        <w:rPr>
          <w:rFonts w:ascii="Times New Roman" w:hAnsi="Times New Roman" w:cs="Times New Roman"/>
        </w:rPr>
      </w:pPr>
      <w:r w:rsidRPr="00833114">
        <w:rPr>
          <w:rFonts w:ascii="Times New Roman" w:hAnsi="Times New Roman" w:cs="Times New Roman"/>
        </w:rPr>
        <w:t xml:space="preserve">Recognizing the threat of </w:t>
      </w:r>
      <w:r w:rsidR="00FF4E1C" w:rsidRPr="00833114">
        <w:rPr>
          <w:rFonts w:ascii="Times New Roman" w:hAnsi="Times New Roman" w:cs="Times New Roman"/>
        </w:rPr>
        <w:t>machine learning models trained on colossal amounts of parameters</w:t>
      </w:r>
      <w:r w:rsidR="008F6BAE" w:rsidRPr="00833114">
        <w:rPr>
          <w:rFonts w:ascii="Times New Roman" w:hAnsi="Times New Roman" w:cs="Times New Roman"/>
        </w:rPr>
        <w:t>,</w:t>
      </w:r>
      <w:r w:rsidR="00FF4E1C" w:rsidRPr="00833114">
        <w:rPr>
          <w:rFonts w:ascii="Times New Roman" w:hAnsi="Times New Roman" w:cs="Times New Roman"/>
        </w:rPr>
        <w:t xml:space="preserve"> </w:t>
      </w:r>
    </w:p>
    <w:p w14:paraId="2ECB474F" w14:textId="77777777" w:rsidR="00714608" w:rsidRPr="00833114" w:rsidRDefault="00714608" w:rsidP="00657309">
      <w:pPr>
        <w:rPr>
          <w:rFonts w:ascii="Times New Roman" w:hAnsi="Times New Roman" w:cs="Times New Roman"/>
        </w:rPr>
      </w:pPr>
    </w:p>
    <w:p w14:paraId="0D6BD7D7" w14:textId="235F42A5" w:rsidR="0080359E" w:rsidRPr="00833114" w:rsidRDefault="00714608" w:rsidP="00664F83">
      <w:pPr>
        <w:rPr>
          <w:rFonts w:ascii="Times New Roman" w:hAnsi="Times New Roman" w:cs="Times New Roman"/>
        </w:rPr>
      </w:pPr>
      <w:r w:rsidRPr="00833114">
        <w:rPr>
          <w:rFonts w:ascii="Times New Roman" w:hAnsi="Times New Roman" w:cs="Times New Roman"/>
        </w:rPr>
        <w:t>Concerned about the aforementioned tools</w:t>
      </w:r>
      <w:r w:rsidR="00185A06" w:rsidRPr="00833114">
        <w:rPr>
          <w:rFonts w:ascii="Times New Roman" w:hAnsi="Times New Roman" w:cs="Times New Roman"/>
        </w:rPr>
        <w:t xml:space="preserve"> and methods</w:t>
      </w:r>
      <w:r w:rsidRPr="00833114">
        <w:rPr>
          <w:rFonts w:ascii="Times New Roman" w:hAnsi="Times New Roman" w:cs="Times New Roman"/>
        </w:rPr>
        <w:t xml:space="preserve"> that cause the proliferation of harmful AI</w:t>
      </w:r>
      <w:r w:rsidR="004F135C" w:rsidRPr="00833114">
        <w:rPr>
          <w:rFonts w:ascii="Times New Roman" w:hAnsi="Times New Roman" w:cs="Times New Roman"/>
        </w:rPr>
        <w:t>,</w:t>
      </w:r>
    </w:p>
    <w:p w14:paraId="225C5113" w14:textId="77777777" w:rsidR="00FD408E" w:rsidRPr="00833114" w:rsidRDefault="00FD408E" w:rsidP="00657309">
      <w:pPr>
        <w:rPr>
          <w:rFonts w:ascii="Times New Roman" w:hAnsi="Times New Roman" w:cs="Times New Roman"/>
        </w:rPr>
      </w:pPr>
    </w:p>
    <w:p w14:paraId="50DD23E2" w14:textId="19712935" w:rsidR="00FD408E" w:rsidRPr="00833114" w:rsidRDefault="00FD408E" w:rsidP="00657309">
      <w:pPr>
        <w:rPr>
          <w:rFonts w:ascii="Times New Roman" w:hAnsi="Times New Roman" w:cs="Times New Roman"/>
        </w:rPr>
      </w:pPr>
      <w:r w:rsidRPr="00833114">
        <w:rPr>
          <w:rFonts w:ascii="Times New Roman" w:hAnsi="Times New Roman" w:cs="Times New Roman"/>
        </w:rPr>
        <w:t xml:space="preserve">Believing </w:t>
      </w:r>
      <w:r w:rsidR="00BD0268" w:rsidRPr="00833114">
        <w:rPr>
          <w:rFonts w:ascii="Times New Roman" w:hAnsi="Times New Roman" w:cs="Times New Roman"/>
        </w:rPr>
        <w:t xml:space="preserve">that the elimination of tools that contribute to the unrestrained and harmful growth of </w:t>
      </w:r>
      <w:r w:rsidR="00453E35" w:rsidRPr="00833114">
        <w:rPr>
          <w:rFonts w:ascii="Times New Roman" w:hAnsi="Times New Roman" w:cs="Times New Roman"/>
        </w:rPr>
        <w:t>AI</w:t>
      </w:r>
      <w:r w:rsidR="00BD0268" w:rsidRPr="00833114">
        <w:rPr>
          <w:rFonts w:ascii="Times New Roman" w:hAnsi="Times New Roman" w:cs="Times New Roman"/>
        </w:rPr>
        <w:t xml:space="preserve"> will be executed </w:t>
      </w:r>
      <w:r w:rsidR="005F143E" w:rsidRPr="00833114">
        <w:rPr>
          <w:rFonts w:ascii="Times New Roman" w:hAnsi="Times New Roman" w:cs="Times New Roman"/>
        </w:rPr>
        <w:t>through a thorough and holistic lens that simultaneously makes the threats of AI less eminent</w:t>
      </w:r>
      <w:r w:rsidR="00583F41" w:rsidRPr="00833114">
        <w:rPr>
          <w:rFonts w:ascii="Times New Roman" w:hAnsi="Times New Roman" w:cs="Times New Roman"/>
        </w:rPr>
        <w:t>,</w:t>
      </w:r>
    </w:p>
    <w:p w14:paraId="0E758B14" w14:textId="77777777" w:rsidR="00C02005" w:rsidRPr="00833114" w:rsidRDefault="00C02005" w:rsidP="00657309">
      <w:pPr>
        <w:rPr>
          <w:rFonts w:ascii="Times New Roman" w:hAnsi="Times New Roman" w:cs="Times New Roman"/>
        </w:rPr>
      </w:pPr>
    </w:p>
    <w:p w14:paraId="19B0E907" w14:textId="343E42AD" w:rsidR="00C02005" w:rsidRPr="00833114" w:rsidRDefault="00C02005" w:rsidP="00657309">
      <w:pPr>
        <w:rPr>
          <w:rFonts w:ascii="Times New Roman" w:hAnsi="Times New Roman" w:cs="Times New Roman"/>
        </w:rPr>
      </w:pPr>
      <w:r w:rsidRPr="00833114">
        <w:rPr>
          <w:rFonts w:ascii="Times New Roman" w:hAnsi="Times New Roman" w:cs="Times New Roman"/>
        </w:rPr>
        <w:t xml:space="preserve">Believing that public perception of AI become </w:t>
      </w:r>
      <w:r w:rsidR="009A183A" w:rsidRPr="00833114">
        <w:rPr>
          <w:rFonts w:ascii="Times New Roman" w:hAnsi="Times New Roman" w:cs="Times New Roman"/>
        </w:rPr>
        <w:t>clearer</w:t>
      </w:r>
      <w:r w:rsidRPr="00833114">
        <w:rPr>
          <w:rFonts w:ascii="Times New Roman" w:hAnsi="Times New Roman" w:cs="Times New Roman"/>
        </w:rPr>
        <w:t xml:space="preserve"> and not </w:t>
      </w:r>
      <w:r w:rsidR="009A183A" w:rsidRPr="00833114">
        <w:rPr>
          <w:rFonts w:ascii="Times New Roman" w:hAnsi="Times New Roman" w:cs="Times New Roman"/>
        </w:rPr>
        <w:t>hidden behind the complexity of the topic</w:t>
      </w:r>
      <w:r w:rsidR="004F135C" w:rsidRPr="00833114">
        <w:rPr>
          <w:rFonts w:ascii="Times New Roman" w:hAnsi="Times New Roman" w:cs="Times New Roman"/>
        </w:rPr>
        <w:t xml:space="preserve"> </w:t>
      </w:r>
      <w:r w:rsidR="009A183A" w:rsidRPr="00833114">
        <w:rPr>
          <w:rFonts w:ascii="Times New Roman" w:hAnsi="Times New Roman" w:cs="Times New Roman"/>
        </w:rPr>
        <w:t>in</w:t>
      </w:r>
      <w:r w:rsidR="00FC6C0D" w:rsidRPr="00833114">
        <w:rPr>
          <w:rFonts w:ascii="Times New Roman" w:hAnsi="Times New Roman" w:cs="Times New Roman"/>
        </w:rPr>
        <w:t xml:space="preserve"> order to </w:t>
      </w:r>
      <w:r w:rsidR="00A03333" w:rsidRPr="00833114">
        <w:rPr>
          <w:rFonts w:ascii="Times New Roman" w:hAnsi="Times New Roman" w:cs="Times New Roman"/>
        </w:rPr>
        <w:t>disseminate information regarding the dangers of AI,</w:t>
      </w:r>
    </w:p>
    <w:p w14:paraId="675245A8" w14:textId="77777777" w:rsidR="001C05D2" w:rsidRPr="00833114" w:rsidRDefault="001C05D2" w:rsidP="00657309">
      <w:pPr>
        <w:rPr>
          <w:rFonts w:ascii="Times New Roman" w:hAnsi="Times New Roman" w:cs="Times New Roman"/>
        </w:rPr>
      </w:pPr>
    </w:p>
    <w:p w14:paraId="54EF0018" w14:textId="025033A6" w:rsidR="00455A10" w:rsidRPr="00833114" w:rsidRDefault="001C05D2" w:rsidP="00657309">
      <w:pPr>
        <w:rPr>
          <w:rFonts w:ascii="Times New Roman" w:hAnsi="Times New Roman" w:cs="Times New Roman"/>
        </w:rPr>
      </w:pPr>
      <w:r w:rsidRPr="00833114">
        <w:rPr>
          <w:rFonts w:ascii="Times New Roman" w:hAnsi="Times New Roman" w:cs="Times New Roman"/>
        </w:rPr>
        <w:t>Believing that an international body</w:t>
      </w:r>
      <w:r w:rsidR="006E368F" w:rsidRPr="00833114">
        <w:rPr>
          <w:rFonts w:ascii="Times New Roman" w:hAnsi="Times New Roman" w:cs="Times New Roman"/>
        </w:rPr>
        <w:t xml:space="preserve"> for oversight</w:t>
      </w:r>
      <w:r w:rsidRPr="00833114">
        <w:rPr>
          <w:rFonts w:ascii="Times New Roman" w:hAnsi="Times New Roman" w:cs="Times New Roman"/>
        </w:rPr>
        <w:t xml:space="preserve"> be established that focuses on </w:t>
      </w:r>
      <w:r w:rsidR="00F9472A" w:rsidRPr="00833114">
        <w:rPr>
          <w:rFonts w:ascii="Times New Roman" w:hAnsi="Times New Roman" w:cs="Times New Roman"/>
        </w:rPr>
        <w:t xml:space="preserve">the appropriate extension of measures to control AI, upholding all current measures </w:t>
      </w:r>
      <w:r w:rsidR="00515BD8" w:rsidRPr="00833114">
        <w:rPr>
          <w:rFonts w:ascii="Times New Roman" w:hAnsi="Times New Roman" w:cs="Times New Roman"/>
        </w:rPr>
        <w:t xml:space="preserve">by focusing on party compliance and resolution of </w:t>
      </w:r>
      <w:r w:rsidR="00016A87" w:rsidRPr="00833114">
        <w:rPr>
          <w:rFonts w:ascii="Times New Roman" w:hAnsi="Times New Roman" w:cs="Times New Roman"/>
        </w:rPr>
        <w:t>disputes</w:t>
      </w:r>
      <w:r w:rsidR="00515BD8" w:rsidRPr="00833114">
        <w:rPr>
          <w:rFonts w:ascii="Times New Roman" w:hAnsi="Times New Roman" w:cs="Times New Roman"/>
        </w:rPr>
        <w:t>,</w:t>
      </w:r>
      <w:r w:rsidR="004657F7" w:rsidRPr="00833114">
        <w:rPr>
          <w:rFonts w:ascii="Times New Roman" w:hAnsi="Times New Roman" w:cs="Times New Roman"/>
        </w:rPr>
        <w:t xml:space="preserve"> enforcing such </w:t>
      </w:r>
      <w:r w:rsidR="0012078F" w:rsidRPr="00833114">
        <w:rPr>
          <w:rFonts w:ascii="Times New Roman" w:hAnsi="Times New Roman" w:cs="Times New Roman"/>
        </w:rPr>
        <w:t xml:space="preserve">compliance for all pertinent </w:t>
      </w:r>
      <w:r w:rsidR="006E368F" w:rsidRPr="00833114">
        <w:rPr>
          <w:rFonts w:ascii="Times New Roman" w:hAnsi="Times New Roman" w:cs="Times New Roman"/>
        </w:rPr>
        <w:t>parties,</w:t>
      </w:r>
      <w:r w:rsidR="00677105" w:rsidRPr="00833114">
        <w:rPr>
          <w:rFonts w:ascii="Times New Roman" w:hAnsi="Times New Roman" w:cs="Times New Roman"/>
        </w:rPr>
        <w:t xml:space="preserve"> and approving </w:t>
      </w:r>
      <w:r w:rsidR="0093794E" w:rsidRPr="00833114">
        <w:rPr>
          <w:rFonts w:ascii="Times New Roman" w:hAnsi="Times New Roman" w:cs="Times New Roman"/>
        </w:rPr>
        <w:t xml:space="preserve">projects in such a manner that </w:t>
      </w:r>
      <w:r w:rsidR="007577E3" w:rsidRPr="00833114">
        <w:rPr>
          <w:rFonts w:ascii="Times New Roman" w:hAnsi="Times New Roman" w:cs="Times New Roman"/>
        </w:rPr>
        <w:t>development in particularly large-scale AI is stunted</w:t>
      </w:r>
      <w:r w:rsidR="00883094" w:rsidRPr="00833114">
        <w:rPr>
          <w:rFonts w:ascii="Times New Roman" w:hAnsi="Times New Roman" w:cs="Times New Roman"/>
        </w:rPr>
        <w:t>,</w:t>
      </w:r>
    </w:p>
    <w:p w14:paraId="07BC5AF0" w14:textId="77777777" w:rsidR="00455A10" w:rsidRPr="00833114" w:rsidRDefault="00455A10" w:rsidP="00657309">
      <w:pPr>
        <w:rPr>
          <w:rFonts w:ascii="Times New Roman" w:hAnsi="Times New Roman" w:cs="Times New Roman"/>
        </w:rPr>
      </w:pPr>
    </w:p>
    <w:p w14:paraId="75AAA953" w14:textId="15ACCE9D" w:rsidR="001C05D2" w:rsidRPr="00833114" w:rsidRDefault="00455A10" w:rsidP="00657309">
      <w:pPr>
        <w:rPr>
          <w:rFonts w:ascii="Times New Roman" w:hAnsi="Times New Roman" w:cs="Times New Roman"/>
        </w:rPr>
      </w:pPr>
      <w:r w:rsidRPr="00833114">
        <w:rPr>
          <w:rFonts w:ascii="Times New Roman" w:hAnsi="Times New Roman" w:cs="Times New Roman"/>
        </w:rPr>
        <w:t xml:space="preserve">Affirming that a </w:t>
      </w:r>
      <w:r w:rsidR="00883094" w:rsidRPr="00833114">
        <w:rPr>
          <w:rFonts w:ascii="Times New Roman" w:hAnsi="Times New Roman" w:cs="Times New Roman"/>
        </w:rPr>
        <w:t xml:space="preserve">completely </w:t>
      </w:r>
      <w:r w:rsidR="00990ACF" w:rsidRPr="00833114">
        <w:rPr>
          <w:rFonts w:ascii="Times New Roman" w:hAnsi="Times New Roman" w:cs="Times New Roman"/>
        </w:rPr>
        <w:t xml:space="preserve">restricted approach to AI development </w:t>
      </w:r>
      <w:r w:rsidR="006E368F" w:rsidRPr="00833114">
        <w:rPr>
          <w:rFonts w:ascii="Times New Roman" w:hAnsi="Times New Roman" w:cs="Times New Roman"/>
        </w:rPr>
        <w:t xml:space="preserve">that focuses on </w:t>
      </w:r>
      <w:r w:rsidR="00883094" w:rsidRPr="00833114">
        <w:rPr>
          <w:rFonts w:ascii="Times New Roman" w:hAnsi="Times New Roman" w:cs="Times New Roman"/>
        </w:rPr>
        <w:t xml:space="preserve">present safety </w:t>
      </w:r>
      <w:r w:rsidR="00B30CB9" w:rsidRPr="00833114">
        <w:rPr>
          <w:rFonts w:ascii="Times New Roman" w:hAnsi="Times New Roman" w:cs="Times New Roman"/>
        </w:rPr>
        <w:t xml:space="preserve">and future risk assessment </w:t>
      </w:r>
      <w:r w:rsidR="00990ACF" w:rsidRPr="00833114">
        <w:rPr>
          <w:rFonts w:ascii="Times New Roman" w:hAnsi="Times New Roman" w:cs="Times New Roman"/>
        </w:rPr>
        <w:t>is in the best interest of all parties</w:t>
      </w:r>
      <w:r w:rsidR="00E2711B" w:rsidRPr="00833114">
        <w:rPr>
          <w:rFonts w:ascii="Times New Roman" w:hAnsi="Times New Roman" w:cs="Times New Roman"/>
        </w:rPr>
        <w:t>,</w:t>
      </w:r>
    </w:p>
    <w:p w14:paraId="2AB5D743" w14:textId="77777777" w:rsidR="0030250F" w:rsidRPr="00833114" w:rsidRDefault="0030250F" w:rsidP="00657309">
      <w:pPr>
        <w:rPr>
          <w:rFonts w:ascii="Times New Roman" w:hAnsi="Times New Roman" w:cs="Times New Roman"/>
        </w:rPr>
      </w:pPr>
    </w:p>
    <w:p w14:paraId="6621328A" w14:textId="5706E7E5" w:rsidR="002B1264" w:rsidRPr="00833114" w:rsidRDefault="002B1264" w:rsidP="00657309">
      <w:pPr>
        <w:rPr>
          <w:rFonts w:ascii="Times New Roman" w:hAnsi="Times New Roman" w:cs="Times New Roman"/>
        </w:rPr>
      </w:pPr>
      <w:r w:rsidRPr="00833114">
        <w:rPr>
          <w:rFonts w:ascii="Times New Roman" w:hAnsi="Times New Roman" w:cs="Times New Roman"/>
        </w:rPr>
        <w:t xml:space="preserve">Considering </w:t>
      </w:r>
      <w:r w:rsidR="007A43DF" w:rsidRPr="00833114">
        <w:rPr>
          <w:rFonts w:ascii="Times New Roman" w:hAnsi="Times New Roman" w:cs="Times New Roman"/>
        </w:rPr>
        <w:t xml:space="preserve">the significance </w:t>
      </w:r>
      <w:r w:rsidR="00902460" w:rsidRPr="00833114">
        <w:rPr>
          <w:rFonts w:ascii="Times New Roman" w:hAnsi="Times New Roman" w:cs="Times New Roman"/>
        </w:rPr>
        <w:t>of</w:t>
      </w:r>
      <w:r w:rsidR="007A43DF" w:rsidRPr="00833114">
        <w:rPr>
          <w:rFonts w:ascii="Times New Roman" w:hAnsi="Times New Roman" w:cs="Times New Roman"/>
        </w:rPr>
        <w:t xml:space="preserve"> AI-based research for institutions and a plethora of industries </w:t>
      </w:r>
      <w:r w:rsidR="006266E8" w:rsidRPr="00833114">
        <w:rPr>
          <w:rFonts w:ascii="Times New Roman" w:hAnsi="Times New Roman" w:cs="Times New Roman"/>
        </w:rPr>
        <w:t>a</w:t>
      </w:r>
      <w:r w:rsidR="0032677B" w:rsidRPr="00833114">
        <w:rPr>
          <w:rFonts w:ascii="Times New Roman" w:hAnsi="Times New Roman" w:cs="Times New Roman"/>
        </w:rPr>
        <w:t>s well as</w:t>
      </w:r>
      <w:r w:rsidR="006266E8" w:rsidRPr="00833114">
        <w:rPr>
          <w:rFonts w:ascii="Times New Roman" w:hAnsi="Times New Roman" w:cs="Times New Roman"/>
        </w:rPr>
        <w:t xml:space="preserve"> the importance of continued innovation in these fields</w:t>
      </w:r>
      <w:r w:rsidR="0032677B" w:rsidRPr="00833114">
        <w:rPr>
          <w:rFonts w:ascii="Times New Roman" w:hAnsi="Times New Roman" w:cs="Times New Roman"/>
        </w:rPr>
        <w:t xml:space="preserve">, it is necessary </w:t>
      </w:r>
      <w:r w:rsidR="00347D6F" w:rsidRPr="00833114">
        <w:rPr>
          <w:rFonts w:ascii="Times New Roman" w:hAnsi="Times New Roman" w:cs="Times New Roman"/>
        </w:rPr>
        <w:t xml:space="preserve">that a restriction on AI development </w:t>
      </w:r>
      <w:r w:rsidR="003D46E8" w:rsidRPr="00833114">
        <w:rPr>
          <w:rFonts w:ascii="Times New Roman" w:hAnsi="Times New Roman" w:cs="Times New Roman"/>
        </w:rPr>
        <w:t>not implode research, but rather encourage an exploration</w:t>
      </w:r>
      <w:r w:rsidR="007D6884" w:rsidRPr="00833114">
        <w:rPr>
          <w:rFonts w:ascii="Times New Roman" w:hAnsi="Times New Roman" w:cs="Times New Roman"/>
        </w:rPr>
        <w:t xml:space="preserve"> </w:t>
      </w:r>
      <w:r w:rsidR="003D46E8" w:rsidRPr="00833114">
        <w:rPr>
          <w:rFonts w:ascii="Times New Roman" w:hAnsi="Times New Roman" w:cs="Times New Roman"/>
        </w:rPr>
        <w:t xml:space="preserve">of </w:t>
      </w:r>
      <w:r w:rsidR="006A66C4">
        <w:rPr>
          <w:rFonts w:ascii="Times New Roman" w:hAnsi="Times New Roman" w:cs="Times New Roman"/>
        </w:rPr>
        <w:t xml:space="preserve">the application of </w:t>
      </w:r>
      <w:r w:rsidR="003D46E8" w:rsidRPr="00833114">
        <w:rPr>
          <w:rFonts w:ascii="Times New Roman" w:hAnsi="Times New Roman" w:cs="Times New Roman"/>
        </w:rPr>
        <w:t xml:space="preserve">current capabilities in </w:t>
      </w:r>
      <w:r w:rsidR="007D6884" w:rsidRPr="00833114">
        <w:rPr>
          <w:rFonts w:ascii="Times New Roman" w:hAnsi="Times New Roman" w:cs="Times New Roman"/>
        </w:rPr>
        <w:t>numerous</w:t>
      </w:r>
      <w:r w:rsidR="003D46E8" w:rsidRPr="00833114">
        <w:rPr>
          <w:rFonts w:ascii="Times New Roman" w:hAnsi="Times New Roman" w:cs="Times New Roman"/>
        </w:rPr>
        <w:t xml:space="preserve"> contexts, </w:t>
      </w:r>
    </w:p>
    <w:p w14:paraId="25587817" w14:textId="77777777" w:rsidR="00AB712A" w:rsidRPr="00833114" w:rsidRDefault="00AB712A" w:rsidP="00657309">
      <w:pPr>
        <w:rPr>
          <w:rFonts w:ascii="Times New Roman" w:hAnsi="Times New Roman" w:cs="Times New Roman"/>
        </w:rPr>
      </w:pPr>
    </w:p>
    <w:p w14:paraId="05730E0E" w14:textId="55305953" w:rsidR="00AB712A" w:rsidRPr="00833114" w:rsidRDefault="00AB712A" w:rsidP="00657309">
      <w:pPr>
        <w:rPr>
          <w:rFonts w:ascii="Times New Roman" w:hAnsi="Times New Roman" w:cs="Times New Roman"/>
        </w:rPr>
      </w:pPr>
      <w:r w:rsidRPr="00833114">
        <w:rPr>
          <w:rFonts w:ascii="Times New Roman" w:hAnsi="Times New Roman" w:cs="Times New Roman"/>
        </w:rPr>
        <w:lastRenderedPageBreak/>
        <w:t>Convinced tha</w:t>
      </w:r>
      <w:r w:rsidR="00D41FBE" w:rsidRPr="00833114">
        <w:rPr>
          <w:rFonts w:ascii="Times New Roman" w:hAnsi="Times New Roman" w:cs="Times New Roman"/>
        </w:rPr>
        <w:t xml:space="preserve">t in order to </w:t>
      </w:r>
      <w:r w:rsidR="00E90CA7" w:rsidRPr="00833114">
        <w:rPr>
          <w:rFonts w:ascii="Times New Roman" w:hAnsi="Times New Roman" w:cs="Times New Roman"/>
        </w:rPr>
        <w:t>secure a future where AI technology is safely compatible to all spheres of society</w:t>
      </w:r>
      <w:r w:rsidR="009038BA" w:rsidRPr="00833114">
        <w:rPr>
          <w:rFonts w:ascii="Times New Roman" w:hAnsi="Times New Roman" w:cs="Times New Roman"/>
        </w:rPr>
        <w:t xml:space="preserve">, all Parties of this Treaty are to </w:t>
      </w:r>
      <w:r w:rsidR="00A061D9" w:rsidRPr="00833114">
        <w:rPr>
          <w:rFonts w:ascii="Times New Roman" w:hAnsi="Times New Roman" w:cs="Times New Roman"/>
        </w:rPr>
        <w:t xml:space="preserve">engage in the exchange of scientific development and information in the relevant field to their maximum capacity </w:t>
      </w:r>
      <w:r w:rsidR="00D7673A" w:rsidRPr="00833114">
        <w:rPr>
          <w:rFonts w:ascii="Times New Roman" w:hAnsi="Times New Roman" w:cs="Times New Roman"/>
        </w:rPr>
        <w:t xml:space="preserve">so as to ensure </w:t>
      </w:r>
      <w:r w:rsidR="00C46E9B" w:rsidRPr="00833114">
        <w:rPr>
          <w:rFonts w:ascii="Times New Roman" w:hAnsi="Times New Roman" w:cs="Times New Roman"/>
        </w:rPr>
        <w:t xml:space="preserve">that </w:t>
      </w:r>
      <w:r w:rsidR="00D7673A" w:rsidRPr="00833114">
        <w:rPr>
          <w:rFonts w:ascii="Times New Roman" w:hAnsi="Times New Roman" w:cs="Times New Roman"/>
        </w:rPr>
        <w:t>no stride is counted out</w:t>
      </w:r>
      <w:r w:rsidR="00C46E9B" w:rsidRPr="00833114">
        <w:rPr>
          <w:rFonts w:ascii="Times New Roman" w:hAnsi="Times New Roman" w:cs="Times New Roman"/>
        </w:rPr>
        <w:t>, and</w:t>
      </w:r>
      <w:r w:rsidR="00886C8C" w:rsidRPr="00833114">
        <w:rPr>
          <w:rFonts w:ascii="Times New Roman" w:hAnsi="Times New Roman" w:cs="Times New Roman"/>
        </w:rPr>
        <w:t xml:space="preserve"> </w:t>
      </w:r>
      <w:r w:rsidR="00EE789F" w:rsidRPr="00833114">
        <w:rPr>
          <w:rFonts w:ascii="Times New Roman" w:hAnsi="Times New Roman" w:cs="Times New Roman"/>
        </w:rPr>
        <w:t xml:space="preserve">that </w:t>
      </w:r>
      <w:r w:rsidR="00886C8C" w:rsidRPr="00833114">
        <w:rPr>
          <w:rFonts w:ascii="Times New Roman" w:hAnsi="Times New Roman" w:cs="Times New Roman"/>
        </w:rPr>
        <w:t>AI</w:t>
      </w:r>
      <w:r w:rsidR="00C46E9B" w:rsidRPr="00833114">
        <w:rPr>
          <w:rFonts w:ascii="Times New Roman" w:hAnsi="Times New Roman" w:cs="Times New Roman"/>
        </w:rPr>
        <w:t xml:space="preserve"> </w:t>
      </w:r>
      <w:r w:rsidR="00025507" w:rsidRPr="00833114">
        <w:rPr>
          <w:rFonts w:ascii="Times New Roman" w:hAnsi="Times New Roman" w:cs="Times New Roman"/>
        </w:rPr>
        <w:t>developments</w:t>
      </w:r>
      <w:r w:rsidR="00553655" w:rsidRPr="00833114">
        <w:rPr>
          <w:rFonts w:ascii="Times New Roman" w:hAnsi="Times New Roman" w:cs="Times New Roman"/>
        </w:rPr>
        <w:t xml:space="preserve"> are</w:t>
      </w:r>
      <w:r w:rsidR="0008487B" w:rsidRPr="00833114">
        <w:rPr>
          <w:rFonts w:ascii="Times New Roman" w:hAnsi="Times New Roman" w:cs="Times New Roman"/>
        </w:rPr>
        <w:t xml:space="preserve"> tightly reviewed across parties </w:t>
      </w:r>
      <w:r w:rsidR="00AF59CA" w:rsidRPr="00833114">
        <w:rPr>
          <w:rFonts w:ascii="Times New Roman" w:hAnsi="Times New Roman" w:cs="Times New Roman"/>
        </w:rPr>
        <w:t xml:space="preserve">to comply with shared safety standards, </w:t>
      </w:r>
    </w:p>
    <w:p w14:paraId="71C04AF1" w14:textId="77777777" w:rsidR="002B1264" w:rsidRPr="00833114" w:rsidRDefault="002B1264" w:rsidP="00657309">
      <w:pPr>
        <w:rPr>
          <w:rFonts w:ascii="Times New Roman" w:hAnsi="Times New Roman" w:cs="Times New Roman"/>
        </w:rPr>
      </w:pPr>
    </w:p>
    <w:p w14:paraId="049E945C" w14:textId="47D86533" w:rsidR="0030250F" w:rsidRPr="00833114" w:rsidRDefault="0030250F" w:rsidP="00657309">
      <w:pPr>
        <w:rPr>
          <w:rFonts w:ascii="Times New Roman" w:hAnsi="Times New Roman" w:cs="Times New Roman"/>
        </w:rPr>
      </w:pPr>
      <w:r w:rsidRPr="00833114">
        <w:rPr>
          <w:rFonts w:ascii="Times New Roman" w:hAnsi="Times New Roman" w:cs="Times New Roman"/>
        </w:rPr>
        <w:t xml:space="preserve">Encouraged by the </w:t>
      </w:r>
      <w:r w:rsidR="00886C8C" w:rsidRPr="00833114">
        <w:rPr>
          <w:rFonts w:ascii="Times New Roman" w:hAnsi="Times New Roman" w:cs="Times New Roman"/>
        </w:rPr>
        <w:t xml:space="preserve">efforts of multiple entities </w:t>
      </w:r>
      <w:r w:rsidR="004B1DDF" w:rsidRPr="00833114">
        <w:rPr>
          <w:rFonts w:ascii="Times New Roman" w:hAnsi="Times New Roman" w:cs="Times New Roman"/>
        </w:rPr>
        <w:t xml:space="preserve">and governments to establish guidelines to restrict AI development </w:t>
      </w:r>
      <w:r w:rsidR="0077022C" w:rsidRPr="00833114">
        <w:rPr>
          <w:rFonts w:ascii="Times New Roman" w:hAnsi="Times New Roman" w:cs="Times New Roman"/>
        </w:rPr>
        <w:t xml:space="preserve">in order to streamline more safe </w:t>
      </w:r>
      <w:r w:rsidR="00D43874" w:rsidRPr="00833114">
        <w:rPr>
          <w:rFonts w:ascii="Times New Roman" w:hAnsi="Times New Roman" w:cs="Times New Roman"/>
        </w:rPr>
        <w:t xml:space="preserve">applications of technology, </w:t>
      </w:r>
    </w:p>
    <w:p w14:paraId="0AD35F90" w14:textId="77777777" w:rsidR="0030250F" w:rsidRPr="00833114" w:rsidRDefault="0030250F" w:rsidP="00657309">
      <w:pPr>
        <w:rPr>
          <w:rFonts w:ascii="Times New Roman" w:hAnsi="Times New Roman" w:cs="Times New Roman"/>
        </w:rPr>
      </w:pPr>
    </w:p>
    <w:p w14:paraId="3D309037" w14:textId="17F0D09C" w:rsidR="008F6BAE" w:rsidRPr="00833114" w:rsidRDefault="008F6BAE" w:rsidP="00657309">
      <w:pPr>
        <w:rPr>
          <w:rFonts w:ascii="Times New Roman" w:hAnsi="Times New Roman" w:cs="Times New Roman"/>
        </w:rPr>
      </w:pPr>
      <w:r w:rsidRPr="00833114">
        <w:rPr>
          <w:rFonts w:ascii="Times New Roman" w:hAnsi="Times New Roman" w:cs="Times New Roman"/>
        </w:rPr>
        <w:t>Urging th</w:t>
      </w:r>
      <w:r w:rsidR="0077022C" w:rsidRPr="00833114">
        <w:rPr>
          <w:rFonts w:ascii="Times New Roman" w:hAnsi="Times New Roman" w:cs="Times New Roman"/>
        </w:rPr>
        <w:t xml:space="preserve">at </w:t>
      </w:r>
      <w:r w:rsidR="001F0FB7" w:rsidRPr="00833114">
        <w:rPr>
          <w:rFonts w:ascii="Times New Roman" w:hAnsi="Times New Roman" w:cs="Times New Roman"/>
        </w:rPr>
        <w:t xml:space="preserve">all parties cooperate in order to achieve a state of safety in the field, </w:t>
      </w:r>
    </w:p>
    <w:p w14:paraId="69884B42" w14:textId="77777777" w:rsidR="008F6BAE" w:rsidRPr="00833114" w:rsidRDefault="008F6BAE" w:rsidP="00657309">
      <w:pPr>
        <w:rPr>
          <w:rFonts w:ascii="Times New Roman" w:hAnsi="Times New Roman" w:cs="Times New Roman"/>
        </w:rPr>
      </w:pPr>
    </w:p>
    <w:p w14:paraId="6E8D88C1" w14:textId="66517B98" w:rsidR="0089085B" w:rsidRPr="00833114" w:rsidRDefault="0030250F" w:rsidP="00657309">
      <w:pPr>
        <w:rPr>
          <w:rFonts w:ascii="Times New Roman" w:hAnsi="Times New Roman" w:cs="Times New Roman"/>
        </w:rPr>
      </w:pPr>
      <w:r w:rsidRPr="00833114">
        <w:rPr>
          <w:rFonts w:ascii="Times New Roman" w:hAnsi="Times New Roman" w:cs="Times New Roman"/>
        </w:rPr>
        <w:t>R</w:t>
      </w:r>
      <w:r w:rsidR="005B3409" w:rsidRPr="00833114">
        <w:rPr>
          <w:rFonts w:ascii="Times New Roman" w:hAnsi="Times New Roman" w:cs="Times New Roman"/>
        </w:rPr>
        <w:t>ecalling</w:t>
      </w:r>
      <w:r w:rsidR="00ED0208" w:rsidRPr="00833114">
        <w:rPr>
          <w:rFonts w:ascii="Times New Roman" w:hAnsi="Times New Roman" w:cs="Times New Roman"/>
        </w:rPr>
        <w:t xml:space="preserve"> the commendable efforts of </w:t>
      </w:r>
      <w:r w:rsidR="001F0FB7" w:rsidRPr="00833114">
        <w:rPr>
          <w:rFonts w:ascii="Times New Roman" w:hAnsi="Times New Roman" w:cs="Times New Roman"/>
        </w:rPr>
        <w:t xml:space="preserve">already established </w:t>
      </w:r>
      <w:r w:rsidR="00ED0208" w:rsidRPr="00833114">
        <w:rPr>
          <w:rFonts w:ascii="Times New Roman" w:hAnsi="Times New Roman" w:cs="Times New Roman"/>
        </w:rPr>
        <w:t xml:space="preserve">frameworks </w:t>
      </w:r>
      <w:r w:rsidR="004D7DA7" w:rsidRPr="00833114">
        <w:rPr>
          <w:rFonts w:ascii="Times New Roman" w:hAnsi="Times New Roman" w:cs="Times New Roman"/>
        </w:rPr>
        <w:t>and laws to control A</w:t>
      </w:r>
      <w:r w:rsidR="00AF41AA" w:rsidRPr="00833114">
        <w:rPr>
          <w:rFonts w:ascii="Times New Roman" w:hAnsi="Times New Roman" w:cs="Times New Roman"/>
        </w:rPr>
        <w:t xml:space="preserve">I </w:t>
      </w:r>
      <w:r w:rsidR="00F327E0" w:rsidRPr="00833114">
        <w:rPr>
          <w:rFonts w:ascii="Times New Roman" w:hAnsi="Times New Roman" w:cs="Times New Roman"/>
        </w:rPr>
        <w:t>to achieve a safer space for society and innovation,</w:t>
      </w:r>
      <w:r w:rsidR="004D7DA7" w:rsidRPr="00833114">
        <w:rPr>
          <w:rFonts w:ascii="Times New Roman" w:hAnsi="Times New Roman" w:cs="Times New Roman"/>
        </w:rPr>
        <w:t xml:space="preserve"> </w:t>
      </w:r>
    </w:p>
    <w:p w14:paraId="4DA956DD" w14:textId="77777777" w:rsidR="00144437" w:rsidRPr="00833114" w:rsidRDefault="00144437" w:rsidP="00657309">
      <w:pPr>
        <w:rPr>
          <w:rFonts w:ascii="Times New Roman" w:hAnsi="Times New Roman" w:cs="Times New Roman"/>
        </w:rPr>
      </w:pPr>
    </w:p>
    <w:p w14:paraId="5C223A0B" w14:textId="55AB5112" w:rsidR="005B3409" w:rsidRPr="00833114" w:rsidRDefault="00CF5463" w:rsidP="00657309">
      <w:pPr>
        <w:rPr>
          <w:rFonts w:ascii="Times New Roman" w:hAnsi="Times New Roman" w:cs="Times New Roman"/>
        </w:rPr>
      </w:pPr>
      <w:r>
        <w:rPr>
          <w:rFonts w:ascii="Times New Roman" w:hAnsi="Times New Roman" w:cs="Times New Roman"/>
        </w:rPr>
        <w:t>Pursuant</w:t>
      </w:r>
      <w:r w:rsidR="005B3409" w:rsidRPr="00833114">
        <w:rPr>
          <w:rFonts w:ascii="Times New Roman" w:hAnsi="Times New Roman" w:cs="Times New Roman"/>
        </w:rPr>
        <w:t xml:space="preserve"> of</w:t>
      </w:r>
      <w:r w:rsidR="004A3034" w:rsidRPr="00833114">
        <w:rPr>
          <w:rFonts w:ascii="Times New Roman" w:hAnsi="Times New Roman" w:cs="Times New Roman"/>
        </w:rPr>
        <w:t xml:space="preserve"> </w:t>
      </w:r>
      <w:r w:rsidR="00E54E26">
        <w:rPr>
          <w:rFonts w:ascii="Times New Roman" w:hAnsi="Times New Roman" w:cs="Times New Roman"/>
        </w:rPr>
        <w:t xml:space="preserve">a </w:t>
      </w:r>
      <w:r w:rsidR="004A3034" w:rsidRPr="00833114">
        <w:rPr>
          <w:rFonts w:ascii="Times New Roman" w:hAnsi="Times New Roman" w:cs="Times New Roman"/>
        </w:rPr>
        <w:t xml:space="preserve">global </w:t>
      </w:r>
      <w:r w:rsidR="00F724AA" w:rsidRPr="00833114">
        <w:rPr>
          <w:rFonts w:ascii="Times New Roman" w:hAnsi="Times New Roman" w:cs="Times New Roman"/>
        </w:rPr>
        <w:t xml:space="preserve">moratorium on the development of large-scale AI </w:t>
      </w:r>
      <w:r w:rsidR="000E3BB2" w:rsidRPr="00833114">
        <w:rPr>
          <w:rFonts w:ascii="Times New Roman" w:hAnsi="Times New Roman" w:cs="Times New Roman"/>
        </w:rPr>
        <w:t xml:space="preserve">projects </w:t>
      </w:r>
      <w:r w:rsidR="00017039" w:rsidRPr="00833114">
        <w:rPr>
          <w:rFonts w:ascii="Times New Roman" w:hAnsi="Times New Roman" w:cs="Times New Roman"/>
        </w:rPr>
        <w:t xml:space="preserve">until a proper </w:t>
      </w:r>
      <w:r w:rsidR="004072E2" w:rsidRPr="00833114">
        <w:rPr>
          <w:rFonts w:ascii="Times New Roman" w:hAnsi="Times New Roman" w:cs="Times New Roman"/>
        </w:rPr>
        <w:t xml:space="preserve">and safe </w:t>
      </w:r>
      <w:r w:rsidR="00017039" w:rsidRPr="00833114">
        <w:rPr>
          <w:rFonts w:ascii="Times New Roman" w:hAnsi="Times New Roman" w:cs="Times New Roman"/>
        </w:rPr>
        <w:t xml:space="preserve">evaluation is reached on the safety and ethicality of such </w:t>
      </w:r>
      <w:r w:rsidR="004072E2" w:rsidRPr="00833114">
        <w:rPr>
          <w:rFonts w:ascii="Times New Roman" w:hAnsi="Times New Roman" w:cs="Times New Roman"/>
        </w:rPr>
        <w:t>developments</w:t>
      </w:r>
      <w:r w:rsidR="004A3034" w:rsidRPr="00833114">
        <w:rPr>
          <w:rFonts w:ascii="Times New Roman" w:hAnsi="Times New Roman" w:cs="Times New Roman"/>
        </w:rPr>
        <w:t>,</w:t>
      </w:r>
    </w:p>
    <w:p w14:paraId="2D71FDAA" w14:textId="77777777" w:rsidR="007739C2" w:rsidRPr="00833114" w:rsidRDefault="007739C2" w:rsidP="00657309">
      <w:pPr>
        <w:rPr>
          <w:rFonts w:ascii="Times New Roman" w:hAnsi="Times New Roman" w:cs="Times New Roman"/>
        </w:rPr>
      </w:pPr>
    </w:p>
    <w:p w14:paraId="41516F43" w14:textId="6146468D" w:rsidR="007739C2" w:rsidRPr="00833114" w:rsidRDefault="007739C2" w:rsidP="00657309">
      <w:pPr>
        <w:rPr>
          <w:rFonts w:ascii="Times New Roman" w:hAnsi="Times New Roman" w:cs="Times New Roman"/>
        </w:rPr>
      </w:pPr>
      <w:r w:rsidRPr="00833114">
        <w:rPr>
          <w:rFonts w:ascii="Times New Roman" w:hAnsi="Times New Roman" w:cs="Times New Roman"/>
        </w:rPr>
        <w:t xml:space="preserve">Have agreed to the following: </w:t>
      </w:r>
    </w:p>
    <w:p w14:paraId="18C06115" w14:textId="77777777" w:rsidR="0080359E" w:rsidRPr="007A52A9" w:rsidRDefault="0080359E" w:rsidP="00657309">
      <w:pPr>
        <w:rPr>
          <w:rFonts w:ascii="Times New Roman" w:hAnsi="Times New Roman" w:cs="Times New Roman"/>
          <w:b/>
          <w:bCs/>
        </w:rPr>
      </w:pPr>
    </w:p>
    <w:p w14:paraId="234F71D7" w14:textId="66ECA340" w:rsidR="0080359E" w:rsidRPr="007A52A9" w:rsidRDefault="00016A87" w:rsidP="00657309">
      <w:pPr>
        <w:rPr>
          <w:rFonts w:ascii="Times New Roman" w:hAnsi="Times New Roman" w:cs="Times New Roman"/>
          <w:b/>
          <w:bCs/>
        </w:rPr>
      </w:pPr>
      <w:r w:rsidRPr="007A52A9">
        <w:rPr>
          <w:rFonts w:ascii="Times New Roman" w:hAnsi="Times New Roman" w:cs="Times New Roman"/>
          <w:b/>
          <w:bCs/>
        </w:rPr>
        <w:t xml:space="preserve">Article </w:t>
      </w:r>
      <w:r w:rsidR="007A52A9" w:rsidRPr="007A52A9">
        <w:rPr>
          <w:rFonts w:ascii="Times New Roman" w:hAnsi="Times New Roman" w:cs="Times New Roman"/>
          <w:b/>
          <w:bCs/>
        </w:rPr>
        <w:t>I</w:t>
      </w:r>
    </w:p>
    <w:p w14:paraId="386E7350" w14:textId="77777777" w:rsidR="00FB536A" w:rsidRPr="00833114" w:rsidRDefault="00FB536A" w:rsidP="00657309">
      <w:pPr>
        <w:rPr>
          <w:rFonts w:ascii="Times New Roman" w:hAnsi="Times New Roman" w:cs="Times New Roman"/>
        </w:rPr>
      </w:pPr>
    </w:p>
    <w:p w14:paraId="47FD6B15" w14:textId="29C0F738" w:rsidR="00FB536A" w:rsidRPr="00833114" w:rsidRDefault="00E34D4C" w:rsidP="00D41C9F">
      <w:pPr>
        <w:pStyle w:val="ListParagraph"/>
        <w:numPr>
          <w:ilvl w:val="0"/>
          <w:numId w:val="3"/>
        </w:numPr>
        <w:rPr>
          <w:rFonts w:ascii="Times New Roman" w:hAnsi="Times New Roman" w:cs="Times New Roman"/>
        </w:rPr>
      </w:pPr>
      <w:r w:rsidRPr="00833114">
        <w:rPr>
          <w:rFonts w:ascii="Times New Roman" w:hAnsi="Times New Roman" w:cs="Times New Roman"/>
        </w:rPr>
        <w:t>All</w:t>
      </w:r>
      <w:r w:rsidR="004F0D44" w:rsidRPr="00833114">
        <w:rPr>
          <w:rFonts w:ascii="Times New Roman" w:hAnsi="Times New Roman" w:cs="Times New Roman"/>
        </w:rPr>
        <w:t xml:space="preserve"> Part</w:t>
      </w:r>
      <w:r w:rsidRPr="00833114">
        <w:rPr>
          <w:rFonts w:ascii="Times New Roman" w:hAnsi="Times New Roman" w:cs="Times New Roman"/>
        </w:rPr>
        <w:t>ies</w:t>
      </w:r>
      <w:r w:rsidR="004F0D44" w:rsidRPr="00833114">
        <w:rPr>
          <w:rFonts w:ascii="Times New Roman" w:hAnsi="Times New Roman" w:cs="Times New Roman"/>
        </w:rPr>
        <w:t xml:space="preserve"> to the Treaty </w:t>
      </w:r>
      <w:r w:rsidR="00A255B4" w:rsidRPr="00833114">
        <w:rPr>
          <w:rFonts w:ascii="Times New Roman" w:hAnsi="Times New Roman" w:cs="Times New Roman"/>
        </w:rPr>
        <w:t>undertake to</w:t>
      </w:r>
      <w:r w:rsidR="004F0D44" w:rsidRPr="00833114">
        <w:rPr>
          <w:rFonts w:ascii="Times New Roman" w:hAnsi="Times New Roman" w:cs="Times New Roman"/>
        </w:rPr>
        <w:t xml:space="preserve"> </w:t>
      </w:r>
      <w:r w:rsidRPr="00833114">
        <w:rPr>
          <w:rFonts w:ascii="Times New Roman" w:hAnsi="Times New Roman" w:cs="Times New Roman"/>
        </w:rPr>
        <w:t xml:space="preserve">shut down GPU and TPU clusters dedicated to training large-scale AI models. </w:t>
      </w:r>
      <w:r w:rsidR="00B113E7" w:rsidRPr="00833114">
        <w:rPr>
          <w:rFonts w:ascii="Times New Roman" w:hAnsi="Times New Roman" w:cs="Times New Roman"/>
        </w:rPr>
        <w:t xml:space="preserve">In addition to the </w:t>
      </w:r>
      <w:r w:rsidR="00AB65B2" w:rsidRPr="00833114">
        <w:rPr>
          <w:rFonts w:ascii="Times New Roman" w:hAnsi="Times New Roman" w:cs="Times New Roman"/>
        </w:rPr>
        <w:t xml:space="preserve">shutting down of centralized computing farms, access to resource-heavy decentralized cloud platforms </w:t>
      </w:r>
      <w:r w:rsidR="005C0A6E" w:rsidRPr="00833114">
        <w:rPr>
          <w:rFonts w:ascii="Times New Roman" w:hAnsi="Times New Roman" w:cs="Times New Roman"/>
        </w:rPr>
        <w:t xml:space="preserve">will be restricted for AI-based applications. </w:t>
      </w:r>
    </w:p>
    <w:p w14:paraId="1DF60B6A" w14:textId="77777777" w:rsidR="000E3855" w:rsidRPr="00833114" w:rsidRDefault="000E3855" w:rsidP="000E3855">
      <w:pPr>
        <w:pStyle w:val="ListParagraph"/>
        <w:rPr>
          <w:rFonts w:ascii="Times New Roman" w:hAnsi="Times New Roman" w:cs="Times New Roman"/>
        </w:rPr>
      </w:pPr>
    </w:p>
    <w:p w14:paraId="0FCB7CA2" w14:textId="5418FC69" w:rsidR="000E3855" w:rsidRPr="00833114" w:rsidRDefault="000E3855" w:rsidP="000E3855">
      <w:pPr>
        <w:pStyle w:val="ListParagraph"/>
        <w:numPr>
          <w:ilvl w:val="1"/>
          <w:numId w:val="3"/>
        </w:numPr>
        <w:rPr>
          <w:rFonts w:ascii="Times New Roman" w:hAnsi="Times New Roman" w:cs="Times New Roman"/>
        </w:rPr>
      </w:pPr>
      <w:r w:rsidRPr="00833114">
        <w:rPr>
          <w:rFonts w:ascii="Times New Roman" w:hAnsi="Times New Roman" w:cs="Times New Roman"/>
        </w:rPr>
        <w:t>All Parties to the Treaty</w:t>
      </w:r>
      <w:r w:rsidR="000E40FF" w:rsidRPr="00833114">
        <w:rPr>
          <w:rFonts w:ascii="Times New Roman" w:hAnsi="Times New Roman" w:cs="Times New Roman"/>
        </w:rPr>
        <w:t xml:space="preserve"> will implement </w:t>
      </w:r>
      <w:r w:rsidR="004A71F7" w:rsidRPr="00833114">
        <w:rPr>
          <w:rFonts w:ascii="Times New Roman" w:hAnsi="Times New Roman" w:cs="Times New Roman"/>
        </w:rPr>
        <w:t xml:space="preserve">standard protocols such that the use </w:t>
      </w:r>
      <w:r w:rsidR="00AF4E68" w:rsidRPr="00833114">
        <w:rPr>
          <w:rFonts w:ascii="Times New Roman" w:hAnsi="Times New Roman" w:cs="Times New Roman"/>
        </w:rPr>
        <w:t xml:space="preserve">of GPU and TPU clusters will dictate an </w:t>
      </w:r>
      <w:r w:rsidR="00111331" w:rsidRPr="00833114">
        <w:rPr>
          <w:rFonts w:ascii="Times New Roman" w:hAnsi="Times New Roman" w:cs="Times New Roman"/>
        </w:rPr>
        <w:t xml:space="preserve">application </w:t>
      </w:r>
      <w:r w:rsidR="00DD2A35" w:rsidRPr="00833114">
        <w:rPr>
          <w:rFonts w:ascii="Times New Roman" w:hAnsi="Times New Roman" w:cs="Times New Roman"/>
        </w:rPr>
        <w:t>to determine eligibility for use</w:t>
      </w:r>
      <w:r w:rsidR="00AF4E68" w:rsidRPr="00833114">
        <w:rPr>
          <w:rFonts w:ascii="Times New Roman" w:hAnsi="Times New Roman" w:cs="Times New Roman"/>
        </w:rPr>
        <w:t xml:space="preserve">. Applications regarding the development of large-scale AI models will be </w:t>
      </w:r>
      <w:r w:rsidR="00111331" w:rsidRPr="00833114">
        <w:rPr>
          <w:rFonts w:ascii="Times New Roman" w:hAnsi="Times New Roman" w:cs="Times New Roman"/>
        </w:rPr>
        <w:t xml:space="preserve">restricted from having access to the computing farm. </w:t>
      </w:r>
    </w:p>
    <w:p w14:paraId="65980913" w14:textId="77777777" w:rsidR="00B042C2" w:rsidRPr="00833114" w:rsidRDefault="00B042C2" w:rsidP="00B042C2">
      <w:pPr>
        <w:rPr>
          <w:rFonts w:ascii="Times New Roman" w:hAnsi="Times New Roman" w:cs="Times New Roman"/>
        </w:rPr>
      </w:pPr>
    </w:p>
    <w:p w14:paraId="6038CA21" w14:textId="792A4CD4" w:rsidR="00B042C2" w:rsidRPr="00833114" w:rsidRDefault="00F97CCE" w:rsidP="00F97CCE">
      <w:pPr>
        <w:pStyle w:val="ListParagraph"/>
        <w:numPr>
          <w:ilvl w:val="0"/>
          <w:numId w:val="3"/>
        </w:numPr>
        <w:rPr>
          <w:rFonts w:ascii="Times New Roman" w:hAnsi="Times New Roman" w:cs="Times New Roman"/>
        </w:rPr>
      </w:pPr>
      <w:r w:rsidRPr="00833114">
        <w:rPr>
          <w:rFonts w:ascii="Times New Roman" w:hAnsi="Times New Roman" w:cs="Times New Roman"/>
        </w:rPr>
        <w:t xml:space="preserve">The </w:t>
      </w:r>
      <w:r w:rsidR="00F01BA2" w:rsidRPr="00833114">
        <w:rPr>
          <w:rFonts w:ascii="Times New Roman" w:hAnsi="Times New Roman" w:cs="Times New Roman"/>
        </w:rPr>
        <w:t xml:space="preserve">manufacturing of Tensor Processing Units (TPUs) and other </w:t>
      </w:r>
      <w:r w:rsidR="00D84F7B" w:rsidRPr="00833114">
        <w:rPr>
          <w:rFonts w:ascii="Times New Roman" w:hAnsi="Times New Roman" w:cs="Times New Roman"/>
        </w:rPr>
        <w:t xml:space="preserve">specialized AI accelerator hardware </w:t>
      </w:r>
      <w:r w:rsidR="006B148F" w:rsidRPr="00833114">
        <w:rPr>
          <w:rFonts w:ascii="Times New Roman" w:hAnsi="Times New Roman" w:cs="Times New Roman"/>
        </w:rPr>
        <w:t>that bolsters machine learning use</w:t>
      </w:r>
      <w:r w:rsidR="0077406A" w:rsidRPr="00833114">
        <w:rPr>
          <w:rFonts w:ascii="Times New Roman" w:hAnsi="Times New Roman" w:cs="Times New Roman"/>
        </w:rPr>
        <w:t xml:space="preserve"> will be </w:t>
      </w:r>
      <w:r w:rsidR="007C25D0" w:rsidRPr="00833114">
        <w:rPr>
          <w:rFonts w:ascii="Times New Roman" w:hAnsi="Times New Roman" w:cs="Times New Roman"/>
        </w:rPr>
        <w:t>restricted</w:t>
      </w:r>
      <w:r w:rsidR="00FB7CFD" w:rsidRPr="00833114">
        <w:rPr>
          <w:rFonts w:ascii="Times New Roman" w:hAnsi="Times New Roman" w:cs="Times New Roman"/>
        </w:rPr>
        <w:t xml:space="preserve">. </w:t>
      </w:r>
      <w:r w:rsidR="007C2912" w:rsidRPr="00833114">
        <w:rPr>
          <w:rFonts w:ascii="Times New Roman" w:hAnsi="Times New Roman" w:cs="Times New Roman"/>
        </w:rPr>
        <w:t xml:space="preserve">Further </w:t>
      </w:r>
      <w:r w:rsidR="00273F8F" w:rsidRPr="00833114">
        <w:rPr>
          <w:rFonts w:ascii="Times New Roman" w:hAnsi="Times New Roman" w:cs="Times New Roman"/>
        </w:rPr>
        <w:t>research and development</w:t>
      </w:r>
      <w:r w:rsidR="007C2912" w:rsidRPr="00833114">
        <w:rPr>
          <w:rFonts w:ascii="Times New Roman" w:hAnsi="Times New Roman" w:cs="Times New Roman"/>
        </w:rPr>
        <w:t xml:space="preserve"> beyond TPU </w:t>
      </w:r>
      <w:r w:rsidR="00790D54" w:rsidRPr="00833114">
        <w:rPr>
          <w:rFonts w:ascii="Times New Roman" w:hAnsi="Times New Roman" w:cs="Times New Roman"/>
        </w:rPr>
        <w:t>v5 will be barred</w:t>
      </w:r>
      <w:r w:rsidR="00E51AB9" w:rsidRPr="00833114">
        <w:rPr>
          <w:rFonts w:ascii="Times New Roman" w:hAnsi="Times New Roman" w:cs="Times New Roman"/>
        </w:rPr>
        <w:t>.</w:t>
      </w:r>
      <w:r w:rsidR="00A6301D" w:rsidRPr="00833114">
        <w:rPr>
          <w:rFonts w:ascii="Times New Roman" w:hAnsi="Times New Roman" w:cs="Times New Roman"/>
        </w:rPr>
        <w:t xml:space="preserve"> </w:t>
      </w:r>
    </w:p>
    <w:p w14:paraId="4A73D156" w14:textId="77777777" w:rsidR="00F54609" w:rsidRPr="00833114" w:rsidRDefault="00F54609" w:rsidP="00F54609">
      <w:pPr>
        <w:rPr>
          <w:rFonts w:ascii="Times New Roman" w:hAnsi="Times New Roman" w:cs="Times New Roman"/>
        </w:rPr>
      </w:pPr>
    </w:p>
    <w:p w14:paraId="4DC55B90" w14:textId="7D14E51E" w:rsidR="00F54609" w:rsidRPr="00833114" w:rsidRDefault="000E4BA3" w:rsidP="00F54609">
      <w:pPr>
        <w:pStyle w:val="ListParagraph"/>
        <w:numPr>
          <w:ilvl w:val="1"/>
          <w:numId w:val="3"/>
        </w:numPr>
        <w:rPr>
          <w:rFonts w:ascii="Times New Roman" w:hAnsi="Times New Roman" w:cs="Times New Roman"/>
        </w:rPr>
      </w:pPr>
      <w:r w:rsidRPr="00833114">
        <w:rPr>
          <w:rFonts w:ascii="Times New Roman" w:hAnsi="Times New Roman" w:cs="Times New Roman"/>
        </w:rPr>
        <w:t>All Parties to the Treaty will</w:t>
      </w:r>
      <w:r w:rsidR="005A103B" w:rsidRPr="00833114">
        <w:rPr>
          <w:rFonts w:ascii="Times New Roman" w:hAnsi="Times New Roman" w:cs="Times New Roman"/>
        </w:rPr>
        <w:t xml:space="preserve">, to their maximum capacity, collaborate in order </w:t>
      </w:r>
      <w:r w:rsidRPr="00833114">
        <w:rPr>
          <w:rFonts w:ascii="Times New Roman" w:hAnsi="Times New Roman" w:cs="Times New Roman"/>
        </w:rPr>
        <w:t>to limit the total supply of advanced TPU</w:t>
      </w:r>
      <w:r w:rsidR="00530885">
        <w:rPr>
          <w:rFonts w:ascii="Times New Roman" w:hAnsi="Times New Roman" w:cs="Times New Roman"/>
        </w:rPr>
        <w:t>s</w:t>
      </w:r>
      <w:r w:rsidRPr="00833114">
        <w:rPr>
          <w:rFonts w:ascii="Times New Roman" w:hAnsi="Times New Roman" w:cs="Times New Roman"/>
        </w:rPr>
        <w:t xml:space="preserve"> being offered so as to mitigate the overall risk of </w:t>
      </w:r>
      <w:r w:rsidR="005A103B" w:rsidRPr="00833114">
        <w:rPr>
          <w:rFonts w:ascii="Times New Roman" w:hAnsi="Times New Roman" w:cs="Times New Roman"/>
        </w:rPr>
        <w:t xml:space="preserve">large-scale AI models being developed. </w:t>
      </w:r>
    </w:p>
    <w:p w14:paraId="44C30A81" w14:textId="77777777" w:rsidR="00FB536A" w:rsidRPr="00833114" w:rsidRDefault="00FB536A" w:rsidP="00657309">
      <w:pPr>
        <w:rPr>
          <w:rFonts w:ascii="Times New Roman" w:hAnsi="Times New Roman" w:cs="Times New Roman"/>
        </w:rPr>
      </w:pPr>
    </w:p>
    <w:p w14:paraId="5EEC0EA8" w14:textId="7D335C96" w:rsidR="0042353D" w:rsidRPr="007A52A9" w:rsidRDefault="008945A6" w:rsidP="00657309">
      <w:pPr>
        <w:rPr>
          <w:rFonts w:ascii="Times New Roman" w:hAnsi="Times New Roman" w:cs="Times New Roman"/>
          <w:b/>
          <w:bCs/>
        </w:rPr>
      </w:pPr>
      <w:r w:rsidRPr="007A52A9">
        <w:rPr>
          <w:rFonts w:ascii="Times New Roman" w:hAnsi="Times New Roman" w:cs="Times New Roman"/>
          <w:b/>
          <w:bCs/>
        </w:rPr>
        <w:t>Article</w:t>
      </w:r>
      <w:r w:rsidR="005A2A63" w:rsidRPr="007A52A9">
        <w:rPr>
          <w:rFonts w:ascii="Times New Roman" w:hAnsi="Times New Roman" w:cs="Times New Roman"/>
          <w:b/>
          <w:bCs/>
        </w:rPr>
        <w:t xml:space="preserve"> </w:t>
      </w:r>
      <w:r w:rsidR="007A52A9" w:rsidRPr="007A52A9">
        <w:rPr>
          <w:rFonts w:ascii="Times New Roman" w:hAnsi="Times New Roman" w:cs="Times New Roman"/>
          <w:b/>
          <w:bCs/>
        </w:rPr>
        <w:t>II</w:t>
      </w:r>
    </w:p>
    <w:p w14:paraId="5DF0F8C6" w14:textId="77777777" w:rsidR="0042353D" w:rsidRPr="00833114" w:rsidRDefault="0042353D" w:rsidP="00657309">
      <w:pPr>
        <w:rPr>
          <w:rFonts w:ascii="Times New Roman" w:hAnsi="Times New Roman" w:cs="Times New Roman"/>
        </w:rPr>
      </w:pPr>
    </w:p>
    <w:p w14:paraId="5F5DDF1A" w14:textId="7923D229" w:rsidR="008945A6" w:rsidRPr="00833114" w:rsidRDefault="00A14B1A" w:rsidP="00A14B1A">
      <w:pPr>
        <w:pStyle w:val="ListParagraph"/>
        <w:numPr>
          <w:ilvl w:val="0"/>
          <w:numId w:val="4"/>
        </w:numPr>
        <w:rPr>
          <w:rFonts w:ascii="Times New Roman" w:hAnsi="Times New Roman" w:cs="Times New Roman"/>
        </w:rPr>
      </w:pPr>
      <w:r w:rsidRPr="00833114">
        <w:rPr>
          <w:rFonts w:ascii="Times New Roman" w:hAnsi="Times New Roman" w:cs="Times New Roman"/>
        </w:rPr>
        <w:t xml:space="preserve">The development of machine learning models trained on 500 million or more parameters is to be </w:t>
      </w:r>
      <w:r w:rsidR="003F44DE" w:rsidRPr="00833114">
        <w:rPr>
          <w:rFonts w:ascii="Times New Roman" w:hAnsi="Times New Roman" w:cs="Times New Roman"/>
        </w:rPr>
        <w:t xml:space="preserve">strictly forbidden. </w:t>
      </w:r>
      <w:r w:rsidRPr="00833114">
        <w:rPr>
          <w:rFonts w:ascii="Times New Roman" w:hAnsi="Times New Roman" w:cs="Times New Roman"/>
        </w:rPr>
        <w:t xml:space="preserve"> </w:t>
      </w:r>
      <w:r w:rsidR="008945A6" w:rsidRPr="00833114">
        <w:rPr>
          <w:rFonts w:ascii="Times New Roman" w:hAnsi="Times New Roman" w:cs="Times New Roman"/>
        </w:rPr>
        <w:t xml:space="preserve"> </w:t>
      </w:r>
    </w:p>
    <w:p w14:paraId="7C5AF0AE" w14:textId="77777777" w:rsidR="00746E37" w:rsidRPr="00833114" w:rsidRDefault="00746E37" w:rsidP="00746E37">
      <w:pPr>
        <w:rPr>
          <w:rFonts w:ascii="Times New Roman" w:hAnsi="Times New Roman" w:cs="Times New Roman"/>
        </w:rPr>
      </w:pPr>
    </w:p>
    <w:p w14:paraId="40D4C0FD" w14:textId="77777777" w:rsidR="00730D01" w:rsidRPr="00833114" w:rsidRDefault="00446914" w:rsidP="00746E37">
      <w:pPr>
        <w:pStyle w:val="ListParagraph"/>
        <w:numPr>
          <w:ilvl w:val="1"/>
          <w:numId w:val="4"/>
        </w:numPr>
        <w:rPr>
          <w:rFonts w:ascii="Times New Roman" w:hAnsi="Times New Roman" w:cs="Times New Roman"/>
        </w:rPr>
      </w:pPr>
      <w:r w:rsidRPr="00833114">
        <w:rPr>
          <w:rFonts w:ascii="Times New Roman" w:hAnsi="Times New Roman" w:cs="Times New Roman"/>
        </w:rPr>
        <w:t>All Parties to the Treaty will mandate reports be made by every major technology company or entity that leverages advanced AI models</w:t>
      </w:r>
      <w:r w:rsidR="00FE29D2" w:rsidRPr="00833114">
        <w:rPr>
          <w:rFonts w:ascii="Times New Roman" w:hAnsi="Times New Roman" w:cs="Times New Roman"/>
        </w:rPr>
        <w:t xml:space="preserve">. These reports are to </w:t>
      </w:r>
      <w:r w:rsidR="00FE29D2" w:rsidRPr="00833114">
        <w:rPr>
          <w:rFonts w:ascii="Times New Roman" w:hAnsi="Times New Roman" w:cs="Times New Roman"/>
        </w:rPr>
        <w:lastRenderedPageBreak/>
        <w:t xml:space="preserve">disclose major machine learning models </w:t>
      </w:r>
      <w:r w:rsidR="00730D01" w:rsidRPr="00833114">
        <w:rPr>
          <w:rFonts w:ascii="Times New Roman" w:hAnsi="Times New Roman" w:cs="Times New Roman"/>
        </w:rPr>
        <w:t xml:space="preserve">as well as the number of parameters they are trained on. </w:t>
      </w:r>
    </w:p>
    <w:p w14:paraId="71C380C3" w14:textId="77777777" w:rsidR="00730D01" w:rsidRPr="00833114" w:rsidRDefault="00730D01" w:rsidP="00730D01">
      <w:pPr>
        <w:rPr>
          <w:rFonts w:ascii="Times New Roman" w:hAnsi="Times New Roman" w:cs="Times New Roman"/>
        </w:rPr>
      </w:pPr>
    </w:p>
    <w:p w14:paraId="05945C65" w14:textId="02A4C6C0" w:rsidR="00746E37" w:rsidRPr="00833114" w:rsidRDefault="00730D01" w:rsidP="00730D01">
      <w:pPr>
        <w:pStyle w:val="ListParagraph"/>
        <w:numPr>
          <w:ilvl w:val="1"/>
          <w:numId w:val="4"/>
        </w:numPr>
        <w:rPr>
          <w:rFonts w:ascii="Times New Roman" w:hAnsi="Times New Roman" w:cs="Times New Roman"/>
        </w:rPr>
      </w:pPr>
      <w:r w:rsidRPr="00833114">
        <w:rPr>
          <w:rFonts w:ascii="Times New Roman" w:hAnsi="Times New Roman" w:cs="Times New Roman"/>
        </w:rPr>
        <w:t xml:space="preserve">Should models exceed to 500 million benchmark, model controllers will be advised to </w:t>
      </w:r>
      <w:r w:rsidR="00E24B7A" w:rsidRPr="00833114">
        <w:rPr>
          <w:rFonts w:ascii="Times New Roman" w:hAnsi="Times New Roman" w:cs="Times New Roman"/>
        </w:rPr>
        <w:t xml:space="preserve">reduce parameter count with techniques such as pruning and knowledge distillation. After an extensive audit, if the parameter count is not reduced after a </w:t>
      </w:r>
      <w:r w:rsidR="003F44DE" w:rsidRPr="00833114">
        <w:rPr>
          <w:rFonts w:ascii="Times New Roman" w:hAnsi="Times New Roman" w:cs="Times New Roman"/>
        </w:rPr>
        <w:t>1-week</w:t>
      </w:r>
      <w:r w:rsidR="00E24B7A" w:rsidRPr="00833114">
        <w:rPr>
          <w:rFonts w:ascii="Times New Roman" w:hAnsi="Times New Roman" w:cs="Times New Roman"/>
        </w:rPr>
        <w:t xml:space="preserve"> (7 day) period </w:t>
      </w:r>
      <w:r w:rsidR="0079088C" w:rsidRPr="00833114">
        <w:rPr>
          <w:rFonts w:ascii="Times New Roman" w:hAnsi="Times New Roman" w:cs="Times New Roman"/>
        </w:rPr>
        <w:t xml:space="preserve">from the initial disclosure, then the machine learning model should be shut down indefinitely. </w:t>
      </w:r>
      <w:r w:rsidR="00FE29D2" w:rsidRPr="00833114">
        <w:rPr>
          <w:rFonts w:ascii="Times New Roman" w:hAnsi="Times New Roman" w:cs="Times New Roman"/>
        </w:rPr>
        <w:t xml:space="preserve"> </w:t>
      </w:r>
    </w:p>
    <w:p w14:paraId="1AD3BC93" w14:textId="77777777" w:rsidR="003F44DE" w:rsidRPr="00833114" w:rsidRDefault="003F44DE" w:rsidP="003F44DE">
      <w:pPr>
        <w:pStyle w:val="ListParagraph"/>
        <w:rPr>
          <w:rFonts w:ascii="Times New Roman" w:hAnsi="Times New Roman" w:cs="Times New Roman"/>
        </w:rPr>
      </w:pPr>
    </w:p>
    <w:p w14:paraId="15ACA21C" w14:textId="58A49F91" w:rsidR="003F44DE" w:rsidRPr="00833114" w:rsidRDefault="003F44DE" w:rsidP="00730D01">
      <w:pPr>
        <w:pStyle w:val="ListParagraph"/>
        <w:numPr>
          <w:ilvl w:val="1"/>
          <w:numId w:val="4"/>
        </w:numPr>
        <w:rPr>
          <w:rFonts w:ascii="Times New Roman" w:hAnsi="Times New Roman" w:cs="Times New Roman"/>
        </w:rPr>
      </w:pPr>
      <w:r w:rsidRPr="00833114">
        <w:rPr>
          <w:rFonts w:ascii="Times New Roman" w:hAnsi="Times New Roman" w:cs="Times New Roman"/>
        </w:rPr>
        <w:t xml:space="preserve">In order to further discourage models that leverage high parameter counts, all Parties to the Treaty </w:t>
      </w:r>
      <w:r w:rsidR="002975D9" w:rsidRPr="00833114">
        <w:rPr>
          <w:rFonts w:ascii="Times New Roman" w:hAnsi="Times New Roman" w:cs="Times New Roman"/>
        </w:rPr>
        <w:t>will be required to form individual M</w:t>
      </w:r>
      <w:r w:rsidR="00115B91" w:rsidRPr="00833114">
        <w:rPr>
          <w:rFonts w:ascii="Times New Roman" w:hAnsi="Times New Roman" w:cs="Times New Roman"/>
        </w:rPr>
        <w:t>P</w:t>
      </w:r>
      <w:r w:rsidR="002975D9" w:rsidRPr="00833114">
        <w:rPr>
          <w:rFonts w:ascii="Times New Roman" w:hAnsi="Times New Roman" w:cs="Times New Roman"/>
        </w:rPr>
        <w:t xml:space="preserve">C groups (Model </w:t>
      </w:r>
      <w:r w:rsidR="00115B91" w:rsidRPr="00833114">
        <w:rPr>
          <w:rFonts w:ascii="Times New Roman" w:hAnsi="Times New Roman" w:cs="Times New Roman"/>
        </w:rPr>
        <w:t xml:space="preserve">Parameter Compliance) that regularly audit </w:t>
      </w:r>
      <w:r w:rsidR="00180BFC" w:rsidRPr="00833114">
        <w:rPr>
          <w:rFonts w:ascii="Times New Roman" w:hAnsi="Times New Roman" w:cs="Times New Roman"/>
        </w:rPr>
        <w:t>models.</w:t>
      </w:r>
    </w:p>
    <w:p w14:paraId="4C7ED193" w14:textId="77777777" w:rsidR="00A4538D" w:rsidRPr="00833114" w:rsidRDefault="00A4538D" w:rsidP="00A4538D">
      <w:pPr>
        <w:pStyle w:val="ListParagraph"/>
        <w:rPr>
          <w:rFonts w:ascii="Times New Roman" w:hAnsi="Times New Roman" w:cs="Times New Roman"/>
        </w:rPr>
      </w:pPr>
    </w:p>
    <w:p w14:paraId="25B5DA27" w14:textId="0B2B1D0B" w:rsidR="00A4538D" w:rsidRPr="00833114" w:rsidRDefault="0061257B" w:rsidP="00730D01">
      <w:pPr>
        <w:pStyle w:val="ListParagraph"/>
        <w:numPr>
          <w:ilvl w:val="1"/>
          <w:numId w:val="4"/>
        </w:numPr>
        <w:rPr>
          <w:rFonts w:ascii="Times New Roman" w:hAnsi="Times New Roman" w:cs="Times New Roman"/>
        </w:rPr>
      </w:pPr>
      <w:r w:rsidRPr="00833114">
        <w:rPr>
          <w:rFonts w:ascii="Times New Roman" w:hAnsi="Times New Roman" w:cs="Times New Roman"/>
        </w:rPr>
        <w:t xml:space="preserve">Similar to the EU AI Act, model risk will be categorized as </w:t>
      </w:r>
      <w:r w:rsidR="009D0F68" w:rsidRPr="00833114">
        <w:rPr>
          <w:rFonts w:ascii="Times New Roman" w:hAnsi="Times New Roman" w:cs="Times New Roman"/>
        </w:rPr>
        <w:t xml:space="preserve">“low-risk”, “medium-risk”, or “high-risk”.  As an extension of </w:t>
      </w:r>
      <w:r w:rsidR="008E16A7">
        <w:rPr>
          <w:rFonts w:ascii="Times New Roman" w:hAnsi="Times New Roman" w:cs="Times New Roman"/>
        </w:rPr>
        <w:t>1.</w:t>
      </w:r>
      <w:r w:rsidR="009D0F68" w:rsidRPr="00833114">
        <w:rPr>
          <w:rFonts w:ascii="Times New Roman" w:hAnsi="Times New Roman" w:cs="Times New Roman"/>
        </w:rPr>
        <w:t xml:space="preserve">1b, models that demonstrate high risk will be shut down regardless of their parameter count, while </w:t>
      </w:r>
      <w:r w:rsidR="00630BD9" w:rsidRPr="00833114">
        <w:rPr>
          <w:rFonts w:ascii="Times New Roman" w:hAnsi="Times New Roman" w:cs="Times New Roman"/>
        </w:rPr>
        <w:t xml:space="preserve">models near the parameter limitation that are considered “medium-risk” or lower will be given a </w:t>
      </w:r>
      <w:r w:rsidR="00F45362" w:rsidRPr="00833114">
        <w:rPr>
          <w:rFonts w:ascii="Times New Roman" w:hAnsi="Times New Roman" w:cs="Times New Roman"/>
        </w:rPr>
        <w:t xml:space="preserve">7-day period </w:t>
      </w:r>
      <w:r w:rsidR="00EF7C8D" w:rsidRPr="00833114">
        <w:rPr>
          <w:rFonts w:ascii="Times New Roman" w:hAnsi="Times New Roman" w:cs="Times New Roman"/>
        </w:rPr>
        <w:t xml:space="preserve">to reduce parameter count. </w:t>
      </w:r>
    </w:p>
    <w:p w14:paraId="29390C8D" w14:textId="77777777" w:rsidR="000A591B" w:rsidRPr="00833114" w:rsidRDefault="000A591B" w:rsidP="000A591B">
      <w:pPr>
        <w:pStyle w:val="ListParagraph"/>
        <w:rPr>
          <w:rFonts w:ascii="Times New Roman" w:hAnsi="Times New Roman" w:cs="Times New Roman"/>
        </w:rPr>
      </w:pPr>
    </w:p>
    <w:p w14:paraId="55E40FA5" w14:textId="56772E86" w:rsidR="000A591B" w:rsidRPr="00833114" w:rsidRDefault="000A591B" w:rsidP="00730D01">
      <w:pPr>
        <w:pStyle w:val="ListParagraph"/>
        <w:numPr>
          <w:ilvl w:val="1"/>
          <w:numId w:val="4"/>
        </w:numPr>
        <w:rPr>
          <w:rFonts w:ascii="Times New Roman" w:hAnsi="Times New Roman" w:cs="Times New Roman"/>
        </w:rPr>
      </w:pPr>
      <w:r w:rsidRPr="00833114">
        <w:rPr>
          <w:rFonts w:ascii="Times New Roman" w:hAnsi="Times New Roman" w:cs="Times New Roman"/>
        </w:rPr>
        <w:t xml:space="preserve">As an extension to </w:t>
      </w:r>
      <w:r w:rsidR="008E16A7">
        <w:rPr>
          <w:rFonts w:ascii="Times New Roman" w:hAnsi="Times New Roman" w:cs="Times New Roman"/>
        </w:rPr>
        <w:t>1.</w:t>
      </w:r>
      <w:r w:rsidRPr="00833114">
        <w:rPr>
          <w:rFonts w:ascii="Times New Roman" w:hAnsi="Times New Roman" w:cs="Times New Roman"/>
        </w:rPr>
        <w:t xml:space="preserve">1c, public awareness to the dangers of models with such large parameter counts </w:t>
      </w:r>
      <w:r w:rsidR="00E4184F" w:rsidRPr="00833114">
        <w:rPr>
          <w:rFonts w:ascii="Times New Roman" w:hAnsi="Times New Roman" w:cs="Times New Roman"/>
        </w:rPr>
        <w:t>is encouraged to</w:t>
      </w:r>
      <w:r w:rsidRPr="00833114">
        <w:rPr>
          <w:rFonts w:ascii="Times New Roman" w:hAnsi="Times New Roman" w:cs="Times New Roman"/>
        </w:rPr>
        <w:t xml:space="preserve"> be fostered</w:t>
      </w:r>
      <w:r w:rsidR="00577031" w:rsidRPr="00833114">
        <w:rPr>
          <w:rFonts w:ascii="Times New Roman" w:hAnsi="Times New Roman" w:cs="Times New Roman"/>
        </w:rPr>
        <w:t xml:space="preserve">. Public campaigns focused on AI ethics, </w:t>
      </w:r>
      <w:r w:rsidR="00E4184F" w:rsidRPr="00833114">
        <w:rPr>
          <w:rFonts w:ascii="Times New Roman" w:hAnsi="Times New Roman" w:cs="Times New Roman"/>
        </w:rPr>
        <w:t xml:space="preserve">policy, and regulation will be encouraged heavily. </w:t>
      </w:r>
    </w:p>
    <w:p w14:paraId="0AF05B9A" w14:textId="77777777" w:rsidR="00BA3E9B" w:rsidRPr="00833114" w:rsidRDefault="00BA3E9B" w:rsidP="00657309">
      <w:pPr>
        <w:rPr>
          <w:rFonts w:ascii="Times New Roman" w:hAnsi="Times New Roman" w:cs="Times New Roman"/>
        </w:rPr>
      </w:pPr>
    </w:p>
    <w:p w14:paraId="1B630F0D" w14:textId="77777777" w:rsidR="008945A6" w:rsidRPr="00833114" w:rsidRDefault="008945A6" w:rsidP="00657309">
      <w:pPr>
        <w:rPr>
          <w:rFonts w:ascii="Times New Roman" w:hAnsi="Times New Roman" w:cs="Times New Roman"/>
        </w:rPr>
      </w:pPr>
    </w:p>
    <w:p w14:paraId="5D2E06C5" w14:textId="44DC967D" w:rsidR="00962130" w:rsidRPr="007A52A9" w:rsidRDefault="008945A6" w:rsidP="00657309">
      <w:pPr>
        <w:rPr>
          <w:rFonts w:ascii="Times New Roman" w:hAnsi="Times New Roman" w:cs="Times New Roman"/>
          <w:b/>
          <w:bCs/>
        </w:rPr>
      </w:pPr>
      <w:r w:rsidRPr="007A52A9">
        <w:rPr>
          <w:rFonts w:ascii="Times New Roman" w:hAnsi="Times New Roman" w:cs="Times New Roman"/>
          <w:b/>
          <w:bCs/>
        </w:rPr>
        <w:t xml:space="preserve">Article </w:t>
      </w:r>
      <w:r w:rsidR="007A52A9" w:rsidRPr="007A52A9">
        <w:rPr>
          <w:rFonts w:ascii="Times New Roman" w:hAnsi="Times New Roman" w:cs="Times New Roman"/>
          <w:b/>
          <w:bCs/>
        </w:rPr>
        <w:t>III</w:t>
      </w:r>
    </w:p>
    <w:p w14:paraId="656A2F91" w14:textId="77777777" w:rsidR="00962130" w:rsidRPr="00833114" w:rsidRDefault="00962130" w:rsidP="00657309">
      <w:pPr>
        <w:rPr>
          <w:rFonts w:ascii="Times New Roman" w:hAnsi="Times New Roman" w:cs="Times New Roman"/>
        </w:rPr>
      </w:pPr>
    </w:p>
    <w:p w14:paraId="727F6D31" w14:textId="2E76EE0D" w:rsidR="008945A6" w:rsidRPr="00833114" w:rsidRDefault="007318DA" w:rsidP="00962130">
      <w:pPr>
        <w:pStyle w:val="ListParagraph"/>
        <w:numPr>
          <w:ilvl w:val="0"/>
          <w:numId w:val="5"/>
        </w:numPr>
        <w:rPr>
          <w:rFonts w:ascii="Times New Roman" w:hAnsi="Times New Roman" w:cs="Times New Roman"/>
        </w:rPr>
      </w:pPr>
      <w:r w:rsidRPr="00833114">
        <w:rPr>
          <w:rFonts w:ascii="Times New Roman" w:hAnsi="Times New Roman" w:cs="Times New Roman"/>
        </w:rPr>
        <w:t>For all Parties to the Treaty, a</w:t>
      </w:r>
      <w:r w:rsidR="00387B5B" w:rsidRPr="00833114">
        <w:rPr>
          <w:rFonts w:ascii="Times New Roman" w:hAnsi="Times New Roman" w:cs="Times New Roman"/>
        </w:rPr>
        <w:t xml:space="preserve">ll developments in the domains of artificial general intelligence (AGI) and artificial super intelligence (ASI) are to be </w:t>
      </w:r>
      <w:r w:rsidRPr="00833114">
        <w:rPr>
          <w:rFonts w:ascii="Times New Roman" w:hAnsi="Times New Roman" w:cs="Times New Roman"/>
        </w:rPr>
        <w:t xml:space="preserve">halted immediately. </w:t>
      </w:r>
    </w:p>
    <w:p w14:paraId="58E934C9" w14:textId="77777777" w:rsidR="0051400C" w:rsidRPr="00833114" w:rsidRDefault="0051400C" w:rsidP="0051400C">
      <w:pPr>
        <w:rPr>
          <w:rFonts w:ascii="Times New Roman" w:hAnsi="Times New Roman" w:cs="Times New Roman"/>
        </w:rPr>
      </w:pPr>
    </w:p>
    <w:p w14:paraId="54EF5FE8" w14:textId="7342C34A" w:rsidR="0051400C" w:rsidRPr="00833114" w:rsidRDefault="005204FB" w:rsidP="005204FB">
      <w:pPr>
        <w:pStyle w:val="ListParagraph"/>
        <w:numPr>
          <w:ilvl w:val="0"/>
          <w:numId w:val="5"/>
        </w:numPr>
        <w:rPr>
          <w:rFonts w:ascii="Times New Roman" w:hAnsi="Times New Roman" w:cs="Times New Roman"/>
        </w:rPr>
      </w:pPr>
      <w:r w:rsidRPr="00833114">
        <w:rPr>
          <w:rFonts w:ascii="Times New Roman" w:hAnsi="Times New Roman" w:cs="Times New Roman"/>
        </w:rPr>
        <w:t xml:space="preserve">All Parties to the Treaty are encouraged to work together in order to create mechanisms </w:t>
      </w:r>
      <w:r w:rsidR="00C33235" w:rsidRPr="00833114">
        <w:rPr>
          <w:rFonts w:ascii="Times New Roman" w:hAnsi="Times New Roman" w:cs="Times New Roman"/>
        </w:rPr>
        <w:t xml:space="preserve">that can prohibit </w:t>
      </w:r>
      <w:r w:rsidR="003566D5" w:rsidRPr="00833114">
        <w:rPr>
          <w:rFonts w:ascii="Times New Roman" w:hAnsi="Times New Roman" w:cs="Times New Roman"/>
        </w:rPr>
        <w:t xml:space="preserve">complete self-learning to be achieved within AI models so that a singularity event, where the behavior of AI models is so advanced that it becomes unpredictable, may be evaded. </w:t>
      </w:r>
    </w:p>
    <w:p w14:paraId="0D8D53DF" w14:textId="77777777" w:rsidR="00C851E3" w:rsidRPr="00833114" w:rsidRDefault="00C851E3" w:rsidP="00C851E3">
      <w:pPr>
        <w:pStyle w:val="ListParagraph"/>
        <w:rPr>
          <w:rFonts w:ascii="Times New Roman" w:hAnsi="Times New Roman" w:cs="Times New Roman"/>
        </w:rPr>
      </w:pPr>
    </w:p>
    <w:p w14:paraId="6F619490" w14:textId="3494FC85" w:rsidR="00C851E3" w:rsidRPr="00833114" w:rsidRDefault="00C851E3" w:rsidP="00C851E3">
      <w:pPr>
        <w:pStyle w:val="ListParagraph"/>
        <w:numPr>
          <w:ilvl w:val="1"/>
          <w:numId w:val="5"/>
        </w:numPr>
        <w:rPr>
          <w:rFonts w:ascii="Times New Roman" w:hAnsi="Times New Roman" w:cs="Times New Roman"/>
        </w:rPr>
      </w:pPr>
      <w:r w:rsidRPr="00833114">
        <w:rPr>
          <w:rFonts w:ascii="Times New Roman" w:hAnsi="Times New Roman" w:cs="Times New Roman"/>
        </w:rPr>
        <w:t xml:space="preserve">All Parties to the Treaty are encouraged to collaborate specifically on </w:t>
      </w:r>
      <w:r w:rsidR="0005442B" w:rsidRPr="00833114">
        <w:rPr>
          <w:rFonts w:ascii="Times New Roman" w:hAnsi="Times New Roman" w:cs="Times New Roman"/>
        </w:rPr>
        <w:t xml:space="preserve">A.I. alignment, which works to </w:t>
      </w:r>
      <w:r w:rsidR="00ED58AC" w:rsidRPr="00833114">
        <w:rPr>
          <w:rFonts w:ascii="Times New Roman" w:hAnsi="Times New Roman" w:cs="Times New Roman"/>
        </w:rPr>
        <w:t xml:space="preserve">align computer system behavior to principle human moral values. </w:t>
      </w:r>
    </w:p>
    <w:p w14:paraId="6C594565" w14:textId="77777777" w:rsidR="00D62706" w:rsidRPr="00833114" w:rsidRDefault="00D62706" w:rsidP="00657309">
      <w:pPr>
        <w:rPr>
          <w:rFonts w:ascii="Times New Roman" w:hAnsi="Times New Roman" w:cs="Times New Roman"/>
        </w:rPr>
      </w:pPr>
    </w:p>
    <w:p w14:paraId="73F40B7B" w14:textId="2E3EFA9E" w:rsidR="00900E74" w:rsidRPr="007A52A9" w:rsidRDefault="00900E74" w:rsidP="00657309">
      <w:pPr>
        <w:rPr>
          <w:rFonts w:ascii="Times New Roman" w:hAnsi="Times New Roman" w:cs="Times New Roman"/>
          <w:b/>
          <w:bCs/>
        </w:rPr>
      </w:pPr>
      <w:r w:rsidRPr="007A52A9">
        <w:rPr>
          <w:rFonts w:ascii="Times New Roman" w:hAnsi="Times New Roman" w:cs="Times New Roman"/>
          <w:b/>
          <w:bCs/>
        </w:rPr>
        <w:t xml:space="preserve">Article </w:t>
      </w:r>
      <w:r w:rsidR="007A52A9" w:rsidRPr="007A52A9">
        <w:rPr>
          <w:rFonts w:ascii="Times New Roman" w:hAnsi="Times New Roman" w:cs="Times New Roman"/>
          <w:b/>
          <w:bCs/>
        </w:rPr>
        <w:t>IV</w:t>
      </w:r>
    </w:p>
    <w:p w14:paraId="11B599FA" w14:textId="77777777" w:rsidR="00323F71" w:rsidRPr="00833114" w:rsidRDefault="00323F71" w:rsidP="00657309">
      <w:pPr>
        <w:rPr>
          <w:rFonts w:ascii="Times New Roman" w:hAnsi="Times New Roman" w:cs="Times New Roman"/>
        </w:rPr>
      </w:pPr>
    </w:p>
    <w:p w14:paraId="0E68402C" w14:textId="149C2685" w:rsidR="00323F71" w:rsidRPr="00833114" w:rsidRDefault="00F709BA" w:rsidP="00F709BA">
      <w:pPr>
        <w:pStyle w:val="ListParagraph"/>
        <w:numPr>
          <w:ilvl w:val="0"/>
          <w:numId w:val="8"/>
        </w:numPr>
        <w:rPr>
          <w:rFonts w:ascii="Times New Roman" w:hAnsi="Times New Roman" w:cs="Times New Roman"/>
        </w:rPr>
      </w:pPr>
      <w:r w:rsidRPr="00833114">
        <w:rPr>
          <w:rFonts w:ascii="Times New Roman" w:hAnsi="Times New Roman" w:cs="Times New Roman"/>
        </w:rPr>
        <w:t xml:space="preserve">All Parties to the Treaty are to strictly denounce and ban AI-abetted crimes. </w:t>
      </w:r>
    </w:p>
    <w:p w14:paraId="75AEE6DE" w14:textId="77777777" w:rsidR="004F2C5D" w:rsidRPr="00833114" w:rsidRDefault="004F2C5D" w:rsidP="004F2C5D">
      <w:pPr>
        <w:rPr>
          <w:rFonts w:ascii="Times New Roman" w:hAnsi="Times New Roman" w:cs="Times New Roman"/>
        </w:rPr>
      </w:pPr>
    </w:p>
    <w:p w14:paraId="5D4C61E7" w14:textId="6CAAD843" w:rsidR="004F2C5D" w:rsidRPr="00833114" w:rsidRDefault="004F2C5D" w:rsidP="004F2C5D">
      <w:pPr>
        <w:pStyle w:val="ListParagraph"/>
        <w:numPr>
          <w:ilvl w:val="0"/>
          <w:numId w:val="11"/>
        </w:numPr>
        <w:rPr>
          <w:rFonts w:ascii="Times New Roman" w:hAnsi="Times New Roman" w:cs="Times New Roman"/>
        </w:rPr>
      </w:pPr>
      <w:r w:rsidRPr="00833114">
        <w:rPr>
          <w:rFonts w:ascii="Times New Roman" w:hAnsi="Times New Roman" w:cs="Times New Roman"/>
        </w:rPr>
        <w:t xml:space="preserve">If AI is used as an accessory to crime, it is to be treated as an innocent agent IF it can be determined </w:t>
      </w:r>
      <w:r w:rsidR="00A97FE2">
        <w:rPr>
          <w:rFonts w:ascii="Times New Roman" w:hAnsi="Times New Roman" w:cs="Times New Roman"/>
        </w:rPr>
        <w:t xml:space="preserve">that </w:t>
      </w:r>
      <w:r w:rsidRPr="00833114">
        <w:rPr>
          <w:rFonts w:ascii="Times New Roman" w:hAnsi="Times New Roman" w:cs="Times New Roman"/>
        </w:rPr>
        <w:t>the primary human perpetrator was not influenced by the AI.</w:t>
      </w:r>
    </w:p>
    <w:p w14:paraId="5654B1AF" w14:textId="77777777" w:rsidR="004F2C5D" w:rsidRPr="00833114" w:rsidRDefault="004F2C5D" w:rsidP="004F2C5D">
      <w:pPr>
        <w:rPr>
          <w:rFonts w:ascii="Times New Roman" w:hAnsi="Times New Roman" w:cs="Times New Roman"/>
        </w:rPr>
      </w:pPr>
    </w:p>
    <w:p w14:paraId="0A316D74" w14:textId="77777777" w:rsidR="004F2C5D" w:rsidRPr="00833114" w:rsidRDefault="004F2C5D" w:rsidP="004F2C5D">
      <w:pPr>
        <w:pStyle w:val="ListParagraph"/>
        <w:numPr>
          <w:ilvl w:val="0"/>
          <w:numId w:val="11"/>
        </w:numPr>
        <w:rPr>
          <w:rFonts w:ascii="Times New Roman" w:hAnsi="Times New Roman" w:cs="Times New Roman"/>
        </w:rPr>
      </w:pPr>
      <w:r w:rsidRPr="00833114">
        <w:rPr>
          <w:rFonts w:ascii="Times New Roman" w:hAnsi="Times New Roman" w:cs="Times New Roman"/>
        </w:rPr>
        <w:lastRenderedPageBreak/>
        <w:t>If the AI committed a crime by itself, an investigation will be launched in order to identify both the actus reus and the mens rea. If both can be convincingly attributed to the AI and not any other external party, then it is to be shut down immediately, and a further investigation into the entity responsible for the AI is to be launched in order to determine for further criminal charges.</w:t>
      </w:r>
    </w:p>
    <w:p w14:paraId="05550A05" w14:textId="77777777" w:rsidR="004F2C5D" w:rsidRPr="00833114" w:rsidRDefault="004F2C5D" w:rsidP="004F2C5D">
      <w:pPr>
        <w:rPr>
          <w:rFonts w:ascii="Times New Roman" w:hAnsi="Times New Roman" w:cs="Times New Roman"/>
        </w:rPr>
      </w:pPr>
    </w:p>
    <w:p w14:paraId="671E35AF" w14:textId="120FC879" w:rsidR="004F2C5D" w:rsidRPr="00833114" w:rsidRDefault="004C00EB" w:rsidP="004F2C5D">
      <w:pPr>
        <w:pStyle w:val="ListParagraph"/>
        <w:numPr>
          <w:ilvl w:val="0"/>
          <w:numId w:val="8"/>
        </w:numPr>
        <w:rPr>
          <w:rFonts w:ascii="Times New Roman" w:hAnsi="Times New Roman" w:cs="Times New Roman"/>
        </w:rPr>
      </w:pPr>
      <w:r w:rsidRPr="00833114">
        <w:rPr>
          <w:rFonts w:ascii="Times New Roman" w:hAnsi="Times New Roman" w:cs="Times New Roman"/>
        </w:rPr>
        <w:t xml:space="preserve">In order to rectify </w:t>
      </w:r>
      <w:r w:rsidR="00FD351B" w:rsidRPr="00833114">
        <w:rPr>
          <w:rFonts w:ascii="Times New Roman" w:hAnsi="Times New Roman" w:cs="Times New Roman"/>
        </w:rPr>
        <w:t xml:space="preserve">the grievances of those </w:t>
      </w:r>
      <w:r w:rsidR="008A1C90" w:rsidRPr="00833114">
        <w:rPr>
          <w:rFonts w:ascii="Times New Roman" w:hAnsi="Times New Roman" w:cs="Times New Roman"/>
        </w:rPr>
        <w:t xml:space="preserve">affected </w:t>
      </w:r>
      <w:r w:rsidR="00FD351B" w:rsidRPr="00833114">
        <w:rPr>
          <w:rFonts w:ascii="Times New Roman" w:hAnsi="Times New Roman" w:cs="Times New Roman"/>
        </w:rPr>
        <w:t xml:space="preserve">by crimes committed by AI </w:t>
      </w:r>
      <w:r w:rsidR="00AC1BB7" w:rsidRPr="00833114">
        <w:rPr>
          <w:rFonts w:ascii="Times New Roman" w:hAnsi="Times New Roman" w:cs="Times New Roman"/>
        </w:rPr>
        <w:t xml:space="preserve">or in which AI has a role, </w:t>
      </w:r>
      <w:r w:rsidR="00280DE4" w:rsidRPr="00833114">
        <w:rPr>
          <w:rFonts w:ascii="Times New Roman" w:hAnsi="Times New Roman" w:cs="Times New Roman"/>
        </w:rPr>
        <w:t>all Parties to the Treaty agree to offer compensation</w:t>
      </w:r>
      <w:r w:rsidR="008A1C90" w:rsidRPr="00833114">
        <w:rPr>
          <w:rFonts w:ascii="Times New Roman" w:hAnsi="Times New Roman" w:cs="Times New Roman"/>
        </w:rPr>
        <w:t xml:space="preserve">s proportional to the degree of implication. </w:t>
      </w:r>
    </w:p>
    <w:p w14:paraId="05A47ED5" w14:textId="39504000" w:rsidR="00954987" w:rsidRPr="00833114" w:rsidRDefault="00954987" w:rsidP="00657309">
      <w:pPr>
        <w:rPr>
          <w:rFonts w:ascii="Times New Roman" w:hAnsi="Times New Roman" w:cs="Times New Roman"/>
        </w:rPr>
      </w:pPr>
    </w:p>
    <w:p w14:paraId="0278619E" w14:textId="77777777" w:rsidR="00FD25BF" w:rsidRPr="00833114" w:rsidRDefault="00FD25BF" w:rsidP="00657309">
      <w:pPr>
        <w:rPr>
          <w:rFonts w:ascii="Times New Roman" w:hAnsi="Times New Roman" w:cs="Times New Roman"/>
        </w:rPr>
      </w:pPr>
    </w:p>
    <w:p w14:paraId="79A54701" w14:textId="342A9035" w:rsidR="00954987" w:rsidRPr="007A52A9" w:rsidRDefault="00954987" w:rsidP="00657309">
      <w:pPr>
        <w:rPr>
          <w:rFonts w:ascii="Times New Roman" w:hAnsi="Times New Roman" w:cs="Times New Roman"/>
          <w:b/>
          <w:bCs/>
        </w:rPr>
      </w:pPr>
      <w:r w:rsidRPr="007A52A9">
        <w:rPr>
          <w:rFonts w:ascii="Times New Roman" w:hAnsi="Times New Roman" w:cs="Times New Roman"/>
          <w:b/>
          <w:bCs/>
        </w:rPr>
        <w:t xml:space="preserve">Article </w:t>
      </w:r>
      <w:r w:rsidR="007A52A9" w:rsidRPr="007A52A9">
        <w:rPr>
          <w:rFonts w:ascii="Times New Roman" w:hAnsi="Times New Roman" w:cs="Times New Roman"/>
          <w:b/>
          <w:bCs/>
        </w:rPr>
        <w:t>V</w:t>
      </w:r>
    </w:p>
    <w:p w14:paraId="4EC88AE0" w14:textId="77777777" w:rsidR="00FD25BF" w:rsidRPr="00833114" w:rsidRDefault="00FD25BF" w:rsidP="00657309">
      <w:pPr>
        <w:rPr>
          <w:rFonts w:ascii="Times New Roman" w:hAnsi="Times New Roman" w:cs="Times New Roman"/>
        </w:rPr>
      </w:pPr>
    </w:p>
    <w:p w14:paraId="2669C523" w14:textId="3E4D67FB" w:rsidR="00884216" w:rsidRPr="00833114" w:rsidRDefault="009B0456" w:rsidP="00FF151E">
      <w:pPr>
        <w:pStyle w:val="ListParagraph"/>
        <w:numPr>
          <w:ilvl w:val="0"/>
          <w:numId w:val="12"/>
        </w:numPr>
        <w:rPr>
          <w:rFonts w:ascii="Times New Roman" w:hAnsi="Times New Roman" w:cs="Times New Roman"/>
        </w:rPr>
      </w:pPr>
      <w:r w:rsidRPr="00833114">
        <w:rPr>
          <w:rFonts w:ascii="Times New Roman" w:hAnsi="Times New Roman" w:cs="Times New Roman"/>
        </w:rPr>
        <w:t xml:space="preserve">All </w:t>
      </w:r>
      <w:r w:rsidR="008F62CE" w:rsidRPr="00833114">
        <w:rPr>
          <w:rFonts w:ascii="Times New Roman" w:hAnsi="Times New Roman" w:cs="Times New Roman"/>
        </w:rPr>
        <w:t>P</w:t>
      </w:r>
      <w:r w:rsidRPr="00833114">
        <w:rPr>
          <w:rFonts w:ascii="Times New Roman" w:hAnsi="Times New Roman" w:cs="Times New Roman"/>
        </w:rPr>
        <w:t xml:space="preserve">arties to the Treaty who are found to be in violation of the treaty should be subject to exclusion </w:t>
      </w:r>
      <w:r w:rsidR="004A4BAC" w:rsidRPr="00833114">
        <w:rPr>
          <w:rFonts w:ascii="Times New Roman" w:hAnsi="Times New Roman" w:cs="Times New Roman"/>
        </w:rPr>
        <w:t xml:space="preserve">in discussion </w:t>
      </w:r>
      <w:r w:rsidR="00C85D5C" w:rsidRPr="00833114">
        <w:rPr>
          <w:rFonts w:ascii="Times New Roman" w:hAnsi="Times New Roman" w:cs="Times New Roman"/>
        </w:rPr>
        <w:t>regarding the</w:t>
      </w:r>
      <w:r w:rsidR="004A4BAC" w:rsidRPr="00833114">
        <w:rPr>
          <w:rFonts w:ascii="Times New Roman" w:hAnsi="Times New Roman" w:cs="Times New Roman"/>
        </w:rPr>
        <w:t xml:space="preserve"> development within the field. Furthermore, </w:t>
      </w:r>
      <w:r w:rsidR="0054746B" w:rsidRPr="00833114">
        <w:rPr>
          <w:rFonts w:ascii="Times New Roman" w:hAnsi="Times New Roman" w:cs="Times New Roman"/>
        </w:rPr>
        <w:t xml:space="preserve">said countries may be subject to </w:t>
      </w:r>
      <w:r w:rsidR="009C019F" w:rsidRPr="00833114">
        <w:rPr>
          <w:rFonts w:ascii="Times New Roman" w:hAnsi="Times New Roman" w:cs="Times New Roman"/>
        </w:rPr>
        <w:t xml:space="preserve">various diplomatic and trade sanctions according to the discretion of all countries in good standing with the </w:t>
      </w:r>
      <w:r w:rsidR="00C85D5C" w:rsidRPr="00833114">
        <w:rPr>
          <w:rFonts w:ascii="Times New Roman" w:hAnsi="Times New Roman" w:cs="Times New Roman"/>
        </w:rPr>
        <w:t xml:space="preserve">treaty. </w:t>
      </w:r>
    </w:p>
    <w:p w14:paraId="1CC7A76F" w14:textId="77777777" w:rsidR="00C85D5C" w:rsidRPr="00833114" w:rsidRDefault="00C85D5C" w:rsidP="00C85D5C">
      <w:pPr>
        <w:pStyle w:val="ListParagraph"/>
        <w:rPr>
          <w:rFonts w:ascii="Times New Roman" w:hAnsi="Times New Roman" w:cs="Times New Roman"/>
        </w:rPr>
      </w:pPr>
    </w:p>
    <w:p w14:paraId="0AF665CC" w14:textId="2E765E69" w:rsidR="00AC5363" w:rsidRPr="00833114" w:rsidRDefault="00AC5363" w:rsidP="008F62CE">
      <w:pPr>
        <w:pStyle w:val="ListParagraph"/>
        <w:numPr>
          <w:ilvl w:val="0"/>
          <w:numId w:val="12"/>
        </w:numPr>
        <w:rPr>
          <w:rFonts w:ascii="Times New Roman" w:hAnsi="Times New Roman" w:cs="Times New Roman"/>
        </w:rPr>
      </w:pPr>
      <w:r w:rsidRPr="00833114">
        <w:rPr>
          <w:rFonts w:ascii="Times New Roman" w:hAnsi="Times New Roman" w:cs="Times New Roman"/>
        </w:rPr>
        <w:t xml:space="preserve">A compliance board will be established in order to monitor the actions of each country and determine if those actions align with the values of the treaty. </w:t>
      </w:r>
      <w:r w:rsidR="00717E25" w:rsidRPr="00833114">
        <w:rPr>
          <w:rFonts w:ascii="Times New Roman" w:hAnsi="Times New Roman" w:cs="Times New Roman"/>
        </w:rPr>
        <w:t>Compliance assessments will be completed on a periodic basis in order</w:t>
      </w:r>
      <w:r w:rsidR="00D62706" w:rsidRPr="00833114">
        <w:rPr>
          <w:rFonts w:ascii="Times New Roman" w:hAnsi="Times New Roman" w:cs="Times New Roman"/>
        </w:rPr>
        <w:t xml:space="preserve"> to determine a country’s standing with the treaty. </w:t>
      </w:r>
    </w:p>
    <w:p w14:paraId="133F3403" w14:textId="77777777" w:rsidR="00611703" w:rsidRPr="00833114" w:rsidRDefault="00611703" w:rsidP="00611703">
      <w:pPr>
        <w:pStyle w:val="ListParagraph"/>
        <w:rPr>
          <w:rFonts w:ascii="Times New Roman" w:hAnsi="Times New Roman" w:cs="Times New Roman"/>
        </w:rPr>
      </w:pPr>
    </w:p>
    <w:p w14:paraId="79DC4B3C" w14:textId="6F23488C" w:rsidR="00611703" w:rsidRPr="00833114" w:rsidRDefault="00611703" w:rsidP="00611703">
      <w:pPr>
        <w:pStyle w:val="ListParagraph"/>
        <w:numPr>
          <w:ilvl w:val="1"/>
          <w:numId w:val="12"/>
        </w:numPr>
        <w:rPr>
          <w:rFonts w:ascii="Times New Roman" w:hAnsi="Times New Roman" w:cs="Times New Roman"/>
        </w:rPr>
      </w:pPr>
      <w:r w:rsidRPr="00833114">
        <w:rPr>
          <w:rFonts w:ascii="Times New Roman" w:hAnsi="Times New Roman" w:cs="Times New Roman"/>
        </w:rPr>
        <w:t xml:space="preserve">Countries found to be </w:t>
      </w:r>
      <w:r w:rsidR="00EC4BE1" w:rsidRPr="00833114">
        <w:rPr>
          <w:rFonts w:ascii="Times New Roman" w:hAnsi="Times New Roman" w:cs="Times New Roman"/>
        </w:rPr>
        <w:t>la</w:t>
      </w:r>
      <w:r w:rsidR="003D0BA2" w:rsidRPr="00833114">
        <w:rPr>
          <w:rFonts w:ascii="Times New Roman" w:hAnsi="Times New Roman" w:cs="Times New Roman"/>
        </w:rPr>
        <w:t>cking</w:t>
      </w:r>
      <w:r w:rsidR="00EC4BE1" w:rsidRPr="00833114">
        <w:rPr>
          <w:rFonts w:ascii="Times New Roman" w:hAnsi="Times New Roman" w:cs="Times New Roman"/>
        </w:rPr>
        <w:t xml:space="preserve"> in </w:t>
      </w:r>
      <w:r w:rsidR="003D0BA2" w:rsidRPr="00833114">
        <w:rPr>
          <w:rFonts w:ascii="Times New Roman" w:hAnsi="Times New Roman" w:cs="Times New Roman"/>
        </w:rPr>
        <w:t xml:space="preserve">the </w:t>
      </w:r>
      <w:r w:rsidR="00EC4BE1" w:rsidRPr="00833114">
        <w:rPr>
          <w:rFonts w:ascii="Times New Roman" w:hAnsi="Times New Roman" w:cs="Times New Roman"/>
        </w:rPr>
        <w:t xml:space="preserve">upholding </w:t>
      </w:r>
      <w:r w:rsidR="003D0BA2" w:rsidRPr="00833114">
        <w:rPr>
          <w:rFonts w:ascii="Times New Roman" w:hAnsi="Times New Roman" w:cs="Times New Roman"/>
        </w:rPr>
        <w:t xml:space="preserve">of </w:t>
      </w:r>
      <w:r w:rsidR="00EC4BE1" w:rsidRPr="00833114">
        <w:rPr>
          <w:rFonts w:ascii="Times New Roman" w:hAnsi="Times New Roman" w:cs="Times New Roman"/>
        </w:rPr>
        <w:t xml:space="preserve">the standards of this treaty by the compliance assessment and by other actions taken at the discretion of the compliance board may be subject to the penalties </w:t>
      </w:r>
      <w:r w:rsidR="009E6CBB" w:rsidRPr="00833114">
        <w:rPr>
          <w:rFonts w:ascii="Times New Roman" w:hAnsi="Times New Roman" w:cs="Times New Roman"/>
        </w:rPr>
        <w:t>mentioned in 5.1.</w:t>
      </w:r>
    </w:p>
    <w:p w14:paraId="4A932B71" w14:textId="77777777" w:rsidR="00AC5363" w:rsidRPr="00833114" w:rsidRDefault="00AC5363" w:rsidP="00AC5363">
      <w:pPr>
        <w:pStyle w:val="ListParagraph"/>
        <w:rPr>
          <w:rFonts w:ascii="Times New Roman" w:hAnsi="Times New Roman" w:cs="Times New Roman"/>
        </w:rPr>
      </w:pPr>
    </w:p>
    <w:p w14:paraId="6ADE83DC" w14:textId="639F291D" w:rsidR="00E069E8" w:rsidRPr="00833114" w:rsidRDefault="008F62CE" w:rsidP="00FF151E">
      <w:pPr>
        <w:pStyle w:val="ListParagraph"/>
        <w:numPr>
          <w:ilvl w:val="0"/>
          <w:numId w:val="12"/>
        </w:numPr>
        <w:rPr>
          <w:rFonts w:ascii="Times New Roman" w:hAnsi="Times New Roman" w:cs="Times New Roman"/>
        </w:rPr>
      </w:pPr>
      <w:r w:rsidRPr="00833114">
        <w:rPr>
          <w:rFonts w:ascii="Times New Roman" w:hAnsi="Times New Roman" w:cs="Times New Roman"/>
        </w:rPr>
        <w:t xml:space="preserve">All </w:t>
      </w:r>
      <w:r w:rsidR="00F1321F" w:rsidRPr="00833114">
        <w:rPr>
          <w:rFonts w:ascii="Times New Roman" w:hAnsi="Times New Roman" w:cs="Times New Roman"/>
        </w:rPr>
        <w:t>P</w:t>
      </w:r>
      <w:r w:rsidRPr="00833114">
        <w:rPr>
          <w:rFonts w:ascii="Times New Roman" w:hAnsi="Times New Roman" w:cs="Times New Roman"/>
        </w:rPr>
        <w:t xml:space="preserve">arties to the Treaty are highly encouraged to be in regular communication with each other in order to </w:t>
      </w:r>
      <w:r w:rsidR="00494142" w:rsidRPr="00833114">
        <w:rPr>
          <w:rFonts w:ascii="Times New Roman" w:hAnsi="Times New Roman" w:cs="Times New Roman"/>
        </w:rPr>
        <w:t xml:space="preserve">achieve </w:t>
      </w:r>
      <w:r w:rsidRPr="00833114">
        <w:rPr>
          <w:rFonts w:ascii="Times New Roman" w:hAnsi="Times New Roman" w:cs="Times New Roman"/>
        </w:rPr>
        <w:t>compliance among all countries</w:t>
      </w:r>
      <w:r w:rsidR="00494142" w:rsidRPr="00833114">
        <w:rPr>
          <w:rFonts w:ascii="Times New Roman" w:hAnsi="Times New Roman" w:cs="Times New Roman"/>
        </w:rPr>
        <w:t xml:space="preserve">. </w:t>
      </w:r>
    </w:p>
    <w:p w14:paraId="336FFF90" w14:textId="77777777" w:rsidR="008F62CE" w:rsidRPr="00833114" w:rsidRDefault="008F62CE" w:rsidP="003266AC">
      <w:pPr>
        <w:rPr>
          <w:rFonts w:ascii="Times New Roman" w:hAnsi="Times New Roman" w:cs="Times New Roman"/>
        </w:rPr>
      </w:pPr>
    </w:p>
    <w:p w14:paraId="06B45F1E" w14:textId="28C9963E" w:rsidR="00A031BC" w:rsidRPr="00833114" w:rsidRDefault="00B713A2" w:rsidP="00FF151E">
      <w:pPr>
        <w:pStyle w:val="ListParagraph"/>
        <w:numPr>
          <w:ilvl w:val="0"/>
          <w:numId w:val="12"/>
        </w:numPr>
        <w:rPr>
          <w:rFonts w:ascii="Times New Roman" w:hAnsi="Times New Roman" w:cs="Times New Roman"/>
        </w:rPr>
      </w:pPr>
      <w:r w:rsidRPr="00833114">
        <w:rPr>
          <w:rFonts w:ascii="Times New Roman" w:hAnsi="Times New Roman" w:cs="Times New Roman"/>
        </w:rPr>
        <w:t>As an extension of 5</w:t>
      </w:r>
      <w:r w:rsidR="009E6CBB" w:rsidRPr="00833114">
        <w:rPr>
          <w:rFonts w:ascii="Times New Roman" w:hAnsi="Times New Roman" w:cs="Times New Roman"/>
        </w:rPr>
        <w:t>.2</w:t>
      </w:r>
      <w:r w:rsidRPr="00833114">
        <w:rPr>
          <w:rFonts w:ascii="Times New Roman" w:hAnsi="Times New Roman" w:cs="Times New Roman"/>
        </w:rPr>
        <w:t xml:space="preserve">, ethical reviews will become key aspects of compliance assessments. Ethical reviews determine the ethicality of the </w:t>
      </w:r>
      <w:r w:rsidR="00222594" w:rsidRPr="00833114">
        <w:rPr>
          <w:rFonts w:ascii="Times New Roman" w:hAnsi="Times New Roman" w:cs="Times New Roman"/>
        </w:rPr>
        <w:t xml:space="preserve">legislative decisions countries put into place, as well as how well those decisions align with the principles and values for which this treaty is constituted upon. </w:t>
      </w:r>
    </w:p>
    <w:p w14:paraId="32C3E798" w14:textId="77777777" w:rsidR="00611703" w:rsidRPr="00833114" w:rsidRDefault="00611703" w:rsidP="00611703">
      <w:pPr>
        <w:pStyle w:val="ListParagraph"/>
        <w:rPr>
          <w:rFonts w:ascii="Times New Roman" w:hAnsi="Times New Roman" w:cs="Times New Roman"/>
        </w:rPr>
      </w:pPr>
    </w:p>
    <w:p w14:paraId="32F66D17" w14:textId="2865B8AA" w:rsidR="00611703" w:rsidRPr="00833114" w:rsidRDefault="00611703" w:rsidP="00611703">
      <w:pPr>
        <w:pStyle w:val="ListParagraph"/>
        <w:numPr>
          <w:ilvl w:val="1"/>
          <w:numId w:val="12"/>
        </w:numPr>
        <w:rPr>
          <w:rFonts w:ascii="Times New Roman" w:hAnsi="Times New Roman" w:cs="Times New Roman"/>
        </w:rPr>
      </w:pPr>
      <w:r w:rsidRPr="00833114">
        <w:rPr>
          <w:rFonts w:ascii="Times New Roman" w:hAnsi="Times New Roman" w:cs="Times New Roman"/>
        </w:rPr>
        <w:t xml:space="preserve">Countries found to </w:t>
      </w:r>
      <w:r w:rsidR="003D0BA2" w:rsidRPr="00833114">
        <w:rPr>
          <w:rFonts w:ascii="Times New Roman" w:hAnsi="Times New Roman" w:cs="Times New Roman"/>
        </w:rPr>
        <w:t xml:space="preserve">be lacking in the upholding of the standards of this treaty </w:t>
      </w:r>
      <w:r w:rsidR="006D12BD" w:rsidRPr="00833114">
        <w:rPr>
          <w:rFonts w:ascii="Times New Roman" w:hAnsi="Times New Roman" w:cs="Times New Roman"/>
        </w:rPr>
        <w:t>by the ethics review and by other actions taken at the discretion of the compliance board may be subject to the penalties mentioned in 5.1.</w:t>
      </w:r>
    </w:p>
    <w:p w14:paraId="3C69E003" w14:textId="77777777" w:rsidR="00954987" w:rsidRPr="00833114" w:rsidRDefault="00954987" w:rsidP="00657309">
      <w:pPr>
        <w:rPr>
          <w:rFonts w:ascii="Times New Roman" w:hAnsi="Times New Roman" w:cs="Times New Roman"/>
        </w:rPr>
      </w:pPr>
    </w:p>
    <w:p w14:paraId="215AFD4F" w14:textId="3A0292DC" w:rsidR="00954987" w:rsidRPr="007A52A9" w:rsidRDefault="00954987" w:rsidP="00657309">
      <w:pPr>
        <w:rPr>
          <w:rFonts w:ascii="Times New Roman" w:hAnsi="Times New Roman" w:cs="Times New Roman"/>
          <w:b/>
          <w:bCs/>
        </w:rPr>
      </w:pPr>
      <w:r w:rsidRPr="007A52A9">
        <w:rPr>
          <w:rFonts w:ascii="Times New Roman" w:hAnsi="Times New Roman" w:cs="Times New Roman"/>
          <w:b/>
          <w:bCs/>
        </w:rPr>
        <w:t xml:space="preserve">Article </w:t>
      </w:r>
      <w:r w:rsidR="007A52A9" w:rsidRPr="007A52A9">
        <w:rPr>
          <w:rFonts w:ascii="Times New Roman" w:hAnsi="Times New Roman" w:cs="Times New Roman"/>
          <w:b/>
          <w:bCs/>
        </w:rPr>
        <w:t>VI</w:t>
      </w:r>
    </w:p>
    <w:p w14:paraId="44A7684B" w14:textId="77777777" w:rsidR="00C559A1" w:rsidRPr="00833114" w:rsidRDefault="00C559A1" w:rsidP="00657309">
      <w:pPr>
        <w:rPr>
          <w:rFonts w:ascii="Times New Roman" w:hAnsi="Times New Roman" w:cs="Times New Roman"/>
        </w:rPr>
      </w:pPr>
    </w:p>
    <w:p w14:paraId="1B9BB5E0" w14:textId="3466500C" w:rsidR="00C559A1" w:rsidRPr="00833114" w:rsidRDefault="00C559A1" w:rsidP="00C559A1">
      <w:pPr>
        <w:pStyle w:val="ListParagraph"/>
        <w:numPr>
          <w:ilvl w:val="0"/>
          <w:numId w:val="18"/>
        </w:numPr>
        <w:rPr>
          <w:rFonts w:ascii="Times New Roman" w:hAnsi="Times New Roman" w:cs="Times New Roman"/>
        </w:rPr>
      </w:pPr>
      <w:r w:rsidRPr="00833114">
        <w:rPr>
          <w:rFonts w:ascii="Times New Roman" w:hAnsi="Times New Roman" w:cs="Times New Roman"/>
        </w:rPr>
        <w:t>In order to address and resolve any disputes</w:t>
      </w:r>
      <w:r w:rsidR="000728F1" w:rsidRPr="00833114">
        <w:rPr>
          <w:rFonts w:ascii="Times New Roman" w:hAnsi="Times New Roman" w:cs="Times New Roman"/>
        </w:rPr>
        <w:t xml:space="preserve"> among member countries</w:t>
      </w:r>
      <w:r w:rsidR="00363330" w:rsidRPr="00833114">
        <w:rPr>
          <w:rFonts w:ascii="Times New Roman" w:hAnsi="Times New Roman" w:cs="Times New Roman"/>
        </w:rPr>
        <w:t xml:space="preserve">, </w:t>
      </w:r>
      <w:r w:rsidR="00796994" w:rsidRPr="00833114">
        <w:rPr>
          <w:rFonts w:ascii="Times New Roman" w:hAnsi="Times New Roman" w:cs="Times New Roman"/>
        </w:rPr>
        <w:t xml:space="preserve">a third-party interdisciplinary panel composed of technical experts in AI as well as ethical experts will act </w:t>
      </w:r>
      <w:r w:rsidR="00584870" w:rsidRPr="00833114">
        <w:rPr>
          <w:rFonts w:ascii="Times New Roman" w:hAnsi="Times New Roman" w:cs="Times New Roman"/>
        </w:rPr>
        <w:t>as arbitral tribunal.</w:t>
      </w:r>
    </w:p>
    <w:p w14:paraId="754DC3CA" w14:textId="77777777" w:rsidR="00584870" w:rsidRPr="00833114" w:rsidRDefault="00584870" w:rsidP="00584870">
      <w:pPr>
        <w:rPr>
          <w:rFonts w:ascii="Times New Roman" w:hAnsi="Times New Roman" w:cs="Times New Roman"/>
        </w:rPr>
      </w:pPr>
    </w:p>
    <w:p w14:paraId="4B884FCE" w14:textId="23E7A5D8" w:rsidR="00584870" w:rsidRPr="00833114" w:rsidRDefault="00584870" w:rsidP="00584870">
      <w:pPr>
        <w:pStyle w:val="ListParagraph"/>
        <w:numPr>
          <w:ilvl w:val="1"/>
          <w:numId w:val="18"/>
        </w:numPr>
        <w:rPr>
          <w:rFonts w:ascii="Times New Roman" w:hAnsi="Times New Roman" w:cs="Times New Roman"/>
        </w:rPr>
      </w:pPr>
      <w:r w:rsidRPr="00833114">
        <w:rPr>
          <w:rFonts w:ascii="Times New Roman" w:hAnsi="Times New Roman" w:cs="Times New Roman"/>
        </w:rPr>
        <w:lastRenderedPageBreak/>
        <w:t xml:space="preserve">The ruling of said </w:t>
      </w:r>
      <w:r w:rsidR="00FF56D5" w:rsidRPr="00833114">
        <w:rPr>
          <w:rFonts w:ascii="Times New Roman" w:hAnsi="Times New Roman" w:cs="Times New Roman"/>
        </w:rPr>
        <w:t>panel is to be binding, and the parties in question waive rights to pursue litigation</w:t>
      </w:r>
      <w:r w:rsidR="0082177F">
        <w:rPr>
          <w:rFonts w:ascii="Times New Roman" w:hAnsi="Times New Roman" w:cs="Times New Roman"/>
        </w:rPr>
        <w:t>.</w:t>
      </w:r>
      <w:r w:rsidR="00FF56D5" w:rsidRPr="00833114">
        <w:rPr>
          <w:rFonts w:ascii="Times New Roman" w:hAnsi="Times New Roman" w:cs="Times New Roman"/>
        </w:rPr>
        <w:t xml:space="preserve"> </w:t>
      </w:r>
    </w:p>
    <w:p w14:paraId="16E8E90D" w14:textId="77777777" w:rsidR="00715EFF" w:rsidRPr="00833114" w:rsidRDefault="00715EFF" w:rsidP="00715EFF">
      <w:pPr>
        <w:rPr>
          <w:rFonts w:ascii="Times New Roman" w:hAnsi="Times New Roman" w:cs="Times New Roman"/>
        </w:rPr>
      </w:pPr>
    </w:p>
    <w:p w14:paraId="79442B0D" w14:textId="7101B013" w:rsidR="00715EFF" w:rsidRPr="00833114" w:rsidRDefault="009E03F3" w:rsidP="00715EFF">
      <w:pPr>
        <w:pStyle w:val="ListParagraph"/>
        <w:numPr>
          <w:ilvl w:val="1"/>
          <w:numId w:val="18"/>
        </w:numPr>
        <w:rPr>
          <w:rFonts w:ascii="Times New Roman" w:hAnsi="Times New Roman" w:cs="Times New Roman"/>
        </w:rPr>
      </w:pPr>
      <w:r w:rsidRPr="00833114">
        <w:rPr>
          <w:rFonts w:ascii="Times New Roman" w:hAnsi="Times New Roman" w:cs="Times New Roman"/>
        </w:rPr>
        <w:t>The goal of the panel specifically is to provide guidance and recommendation to relevant parties for effective dispute resolution</w:t>
      </w:r>
      <w:r w:rsidR="00AD13DE">
        <w:rPr>
          <w:rFonts w:ascii="Times New Roman" w:hAnsi="Times New Roman" w:cs="Times New Roman"/>
        </w:rPr>
        <w:t>.</w:t>
      </w:r>
      <w:r w:rsidRPr="00833114">
        <w:rPr>
          <w:rFonts w:ascii="Times New Roman" w:hAnsi="Times New Roman" w:cs="Times New Roman"/>
        </w:rPr>
        <w:t xml:space="preserve"> </w:t>
      </w:r>
    </w:p>
    <w:p w14:paraId="6E662141" w14:textId="77777777" w:rsidR="00F1321F" w:rsidRPr="00833114" w:rsidRDefault="00F1321F" w:rsidP="00F1321F">
      <w:pPr>
        <w:pStyle w:val="ListParagraph"/>
        <w:rPr>
          <w:rFonts w:ascii="Times New Roman" w:hAnsi="Times New Roman" w:cs="Times New Roman"/>
        </w:rPr>
      </w:pPr>
    </w:p>
    <w:p w14:paraId="17E6054D" w14:textId="01BC16A6" w:rsidR="00F1321F" w:rsidRPr="00833114" w:rsidRDefault="00F1321F" w:rsidP="00F1321F">
      <w:pPr>
        <w:pStyle w:val="ListParagraph"/>
        <w:numPr>
          <w:ilvl w:val="0"/>
          <w:numId w:val="18"/>
        </w:numPr>
        <w:rPr>
          <w:rFonts w:ascii="Times New Roman" w:hAnsi="Times New Roman" w:cs="Times New Roman"/>
        </w:rPr>
      </w:pPr>
      <w:r w:rsidRPr="00833114">
        <w:rPr>
          <w:rFonts w:ascii="Times New Roman" w:hAnsi="Times New Roman" w:cs="Times New Roman"/>
        </w:rPr>
        <w:t xml:space="preserve">Fellow Parties to the Treaty are encouraged to help mediate negotiations between the countries </w:t>
      </w:r>
      <w:r w:rsidR="00FD4003" w:rsidRPr="00833114">
        <w:rPr>
          <w:rFonts w:ascii="Times New Roman" w:hAnsi="Times New Roman" w:cs="Times New Roman"/>
        </w:rPr>
        <w:t xml:space="preserve">in order to achieve an amicable settlement. </w:t>
      </w:r>
    </w:p>
    <w:p w14:paraId="6F6D1F1B" w14:textId="77777777" w:rsidR="00954987" w:rsidRPr="00833114" w:rsidRDefault="00954987" w:rsidP="00657309">
      <w:pPr>
        <w:rPr>
          <w:rFonts w:ascii="Times New Roman" w:hAnsi="Times New Roman" w:cs="Times New Roman"/>
        </w:rPr>
      </w:pPr>
    </w:p>
    <w:p w14:paraId="20C8AF31" w14:textId="6A814A1C" w:rsidR="00954987" w:rsidRPr="00E05321" w:rsidRDefault="00954987" w:rsidP="00657309">
      <w:pPr>
        <w:rPr>
          <w:rFonts w:ascii="Times New Roman" w:hAnsi="Times New Roman" w:cs="Times New Roman"/>
          <w:b/>
          <w:bCs/>
        </w:rPr>
      </w:pPr>
      <w:r w:rsidRPr="00E05321">
        <w:rPr>
          <w:rFonts w:ascii="Times New Roman" w:hAnsi="Times New Roman" w:cs="Times New Roman"/>
          <w:b/>
          <w:bCs/>
        </w:rPr>
        <w:t xml:space="preserve">Article </w:t>
      </w:r>
      <w:r w:rsidR="00E05321" w:rsidRPr="00E05321">
        <w:rPr>
          <w:rFonts w:ascii="Times New Roman" w:hAnsi="Times New Roman" w:cs="Times New Roman"/>
          <w:b/>
          <w:bCs/>
        </w:rPr>
        <w:t>VII</w:t>
      </w:r>
    </w:p>
    <w:p w14:paraId="7E271E0C" w14:textId="77777777" w:rsidR="00954987" w:rsidRPr="00833114" w:rsidRDefault="00954987" w:rsidP="00657309">
      <w:pPr>
        <w:rPr>
          <w:rFonts w:ascii="Times New Roman" w:hAnsi="Times New Roman" w:cs="Times New Roman"/>
        </w:rPr>
      </w:pPr>
    </w:p>
    <w:p w14:paraId="78D64002" w14:textId="3823E223" w:rsidR="00E27640" w:rsidRPr="00833114" w:rsidRDefault="00AC5068" w:rsidP="00E27640">
      <w:pPr>
        <w:pStyle w:val="ListParagraph"/>
        <w:numPr>
          <w:ilvl w:val="0"/>
          <w:numId w:val="13"/>
        </w:numPr>
        <w:rPr>
          <w:rFonts w:ascii="Times New Roman" w:hAnsi="Times New Roman" w:cs="Times New Roman"/>
        </w:rPr>
      </w:pPr>
      <w:r w:rsidRPr="00833114">
        <w:rPr>
          <w:rFonts w:ascii="Times New Roman" w:hAnsi="Times New Roman" w:cs="Times New Roman"/>
        </w:rPr>
        <w:t xml:space="preserve">Regular discussion among Parties to the Treaty is encouraged in order to </w:t>
      </w:r>
      <w:r w:rsidR="00C00558" w:rsidRPr="00833114">
        <w:rPr>
          <w:rFonts w:ascii="Times New Roman" w:hAnsi="Times New Roman" w:cs="Times New Roman"/>
        </w:rPr>
        <w:t xml:space="preserve">determine the standing and development of the safe and ethical development of AI. </w:t>
      </w:r>
    </w:p>
    <w:p w14:paraId="519B381D" w14:textId="77777777" w:rsidR="00C00558" w:rsidRPr="00833114" w:rsidRDefault="00C00558" w:rsidP="00C00558">
      <w:pPr>
        <w:rPr>
          <w:rFonts w:ascii="Times New Roman" w:hAnsi="Times New Roman" w:cs="Times New Roman"/>
        </w:rPr>
      </w:pPr>
    </w:p>
    <w:p w14:paraId="757AE880" w14:textId="5C7ABE48" w:rsidR="00C00558" w:rsidRPr="00833114" w:rsidRDefault="00C00558" w:rsidP="00C00558">
      <w:pPr>
        <w:pStyle w:val="ListParagraph"/>
        <w:numPr>
          <w:ilvl w:val="1"/>
          <w:numId w:val="13"/>
        </w:numPr>
        <w:rPr>
          <w:rFonts w:ascii="Times New Roman" w:hAnsi="Times New Roman" w:cs="Times New Roman"/>
        </w:rPr>
      </w:pPr>
      <w:r w:rsidRPr="00833114">
        <w:rPr>
          <w:rFonts w:ascii="Times New Roman" w:hAnsi="Times New Roman" w:cs="Times New Roman"/>
        </w:rPr>
        <w:t xml:space="preserve">Such discussion is imperative to the </w:t>
      </w:r>
      <w:r w:rsidR="00C24507" w:rsidRPr="00833114">
        <w:rPr>
          <w:rFonts w:ascii="Times New Roman" w:hAnsi="Times New Roman" w:cs="Times New Roman"/>
        </w:rPr>
        <w:t xml:space="preserve">functionality </w:t>
      </w:r>
      <w:r w:rsidRPr="00833114">
        <w:rPr>
          <w:rFonts w:ascii="Times New Roman" w:hAnsi="Times New Roman" w:cs="Times New Roman"/>
        </w:rPr>
        <w:t>of th</w:t>
      </w:r>
      <w:r w:rsidR="00C24507" w:rsidRPr="00833114">
        <w:rPr>
          <w:rFonts w:ascii="Times New Roman" w:hAnsi="Times New Roman" w:cs="Times New Roman"/>
        </w:rPr>
        <w:t>is</w:t>
      </w:r>
      <w:r w:rsidRPr="00833114">
        <w:rPr>
          <w:rFonts w:ascii="Times New Roman" w:hAnsi="Times New Roman" w:cs="Times New Roman"/>
        </w:rPr>
        <w:t xml:space="preserve"> treaty</w:t>
      </w:r>
      <w:r w:rsidR="000E00B6" w:rsidRPr="00833114">
        <w:rPr>
          <w:rFonts w:ascii="Times New Roman" w:hAnsi="Times New Roman" w:cs="Times New Roman"/>
        </w:rPr>
        <w:t xml:space="preserve">, for as long </w:t>
      </w:r>
      <w:r w:rsidR="00AD13DE">
        <w:rPr>
          <w:rFonts w:ascii="Times New Roman" w:hAnsi="Times New Roman" w:cs="Times New Roman"/>
        </w:rPr>
        <w:t xml:space="preserve">as </w:t>
      </w:r>
      <w:r w:rsidR="000E00B6" w:rsidRPr="00833114">
        <w:rPr>
          <w:rFonts w:ascii="Times New Roman" w:hAnsi="Times New Roman" w:cs="Times New Roman"/>
        </w:rPr>
        <w:t xml:space="preserve">AI development </w:t>
      </w:r>
      <w:r w:rsidR="00F03760">
        <w:rPr>
          <w:rFonts w:ascii="Times New Roman" w:hAnsi="Times New Roman" w:cs="Times New Roman"/>
        </w:rPr>
        <w:t xml:space="preserve">is </w:t>
      </w:r>
      <w:r w:rsidR="00AD13DE">
        <w:rPr>
          <w:rFonts w:ascii="Times New Roman" w:hAnsi="Times New Roman" w:cs="Times New Roman"/>
        </w:rPr>
        <w:t>concluded to not</w:t>
      </w:r>
      <w:proofErr w:type="spellStart"/>
      <w:r w:rsidR="002F1AAB" w:rsidRPr="00833114">
        <w:rPr>
          <w:rFonts w:ascii="Times New Roman" w:hAnsi="Times New Roman" w:cs="Times New Roman"/>
        </w:rPr>
        <w:t xml:space="preserve"> </w:t>
      </w:r>
      <w:proofErr w:type="spellEnd"/>
      <w:r w:rsidR="002F1AAB" w:rsidRPr="00833114">
        <w:rPr>
          <w:rFonts w:ascii="Times New Roman" w:hAnsi="Times New Roman" w:cs="Times New Roman"/>
        </w:rPr>
        <w:t xml:space="preserve">conform to safe and ethical standards, the </w:t>
      </w:r>
      <w:r w:rsidR="00C24507" w:rsidRPr="00833114">
        <w:rPr>
          <w:rFonts w:ascii="Times New Roman" w:hAnsi="Times New Roman" w:cs="Times New Roman"/>
        </w:rPr>
        <w:t xml:space="preserve">necessity of this treaty exists. </w:t>
      </w:r>
      <w:r w:rsidR="002F1AAB" w:rsidRPr="00833114">
        <w:rPr>
          <w:rFonts w:ascii="Times New Roman" w:hAnsi="Times New Roman" w:cs="Times New Roman"/>
        </w:rPr>
        <w:t xml:space="preserve"> </w:t>
      </w:r>
    </w:p>
    <w:p w14:paraId="1716414A" w14:textId="77777777" w:rsidR="00E27640" w:rsidRPr="00833114" w:rsidRDefault="00E27640" w:rsidP="00657309">
      <w:pPr>
        <w:rPr>
          <w:rFonts w:ascii="Times New Roman" w:hAnsi="Times New Roman" w:cs="Times New Roman"/>
        </w:rPr>
      </w:pPr>
    </w:p>
    <w:p w14:paraId="478245AA" w14:textId="3E763B44" w:rsidR="00123DFA" w:rsidRPr="00833114" w:rsidRDefault="00C95885" w:rsidP="00D90DBF">
      <w:pPr>
        <w:pStyle w:val="ListParagraph"/>
        <w:numPr>
          <w:ilvl w:val="0"/>
          <w:numId w:val="13"/>
        </w:numPr>
        <w:rPr>
          <w:rFonts w:ascii="Times New Roman" w:hAnsi="Times New Roman" w:cs="Times New Roman"/>
        </w:rPr>
      </w:pPr>
      <w:r w:rsidRPr="00833114">
        <w:rPr>
          <w:rFonts w:ascii="Times New Roman" w:hAnsi="Times New Roman" w:cs="Times New Roman"/>
        </w:rPr>
        <w:t xml:space="preserve">Parties to the Treaty are encouraged to draft and enforce domestic legislation that reflects the core principles of this treaty. </w:t>
      </w:r>
      <w:r w:rsidR="00606FAD" w:rsidRPr="00833114">
        <w:rPr>
          <w:rFonts w:ascii="Times New Roman" w:hAnsi="Times New Roman" w:cs="Times New Roman"/>
        </w:rPr>
        <w:t xml:space="preserve">Such legislation will allow for a </w:t>
      </w:r>
      <w:r w:rsidR="00C87429" w:rsidRPr="00833114">
        <w:rPr>
          <w:rFonts w:ascii="Times New Roman" w:hAnsi="Times New Roman" w:cs="Times New Roman"/>
        </w:rPr>
        <w:t xml:space="preserve">coexistence of global power and national autonomy. </w:t>
      </w:r>
    </w:p>
    <w:p w14:paraId="7DF620BE" w14:textId="77777777" w:rsidR="005C735E" w:rsidRPr="00833114" w:rsidRDefault="005C735E" w:rsidP="005C735E">
      <w:pPr>
        <w:pStyle w:val="ListParagraph"/>
        <w:rPr>
          <w:rFonts w:ascii="Times New Roman" w:hAnsi="Times New Roman" w:cs="Times New Roman"/>
        </w:rPr>
      </w:pPr>
    </w:p>
    <w:p w14:paraId="0FAD1472" w14:textId="2F3EFC93" w:rsidR="005C735E" w:rsidRPr="00833114" w:rsidRDefault="00C6678A" w:rsidP="00D90DBF">
      <w:pPr>
        <w:pStyle w:val="ListParagraph"/>
        <w:numPr>
          <w:ilvl w:val="0"/>
          <w:numId w:val="13"/>
        </w:numPr>
        <w:rPr>
          <w:rFonts w:ascii="Times New Roman" w:hAnsi="Times New Roman" w:cs="Times New Roman"/>
        </w:rPr>
      </w:pPr>
      <w:r w:rsidRPr="00833114">
        <w:rPr>
          <w:rFonts w:ascii="Times New Roman" w:hAnsi="Times New Roman" w:cs="Times New Roman"/>
        </w:rPr>
        <w:t xml:space="preserve">Similar to </w:t>
      </w:r>
      <w:r w:rsidR="00BB02FE" w:rsidRPr="00833114">
        <w:rPr>
          <w:rFonts w:ascii="Times New Roman" w:hAnsi="Times New Roman" w:cs="Times New Roman"/>
        </w:rPr>
        <w:t>a measure extended by the United Nations Convention Against Corruption (UNAC), p</w:t>
      </w:r>
      <w:r w:rsidR="00372FCE" w:rsidRPr="00833114">
        <w:rPr>
          <w:rFonts w:ascii="Times New Roman" w:hAnsi="Times New Roman" w:cs="Times New Roman"/>
        </w:rPr>
        <w:t>rotection will be established for p</w:t>
      </w:r>
      <w:r w:rsidR="002606FD" w:rsidRPr="00833114">
        <w:rPr>
          <w:rFonts w:ascii="Times New Roman" w:hAnsi="Times New Roman" w:cs="Times New Roman"/>
        </w:rPr>
        <w:t xml:space="preserve">eople who </w:t>
      </w:r>
      <w:r w:rsidR="008462DE" w:rsidRPr="00833114">
        <w:rPr>
          <w:rFonts w:ascii="Times New Roman" w:hAnsi="Times New Roman" w:cs="Times New Roman"/>
        </w:rPr>
        <w:t>come forward with violations committed by any Party to the Treaty</w:t>
      </w:r>
      <w:r w:rsidR="00372FCE" w:rsidRPr="00833114">
        <w:rPr>
          <w:rFonts w:ascii="Times New Roman" w:hAnsi="Times New Roman" w:cs="Times New Roman"/>
        </w:rPr>
        <w:t xml:space="preserve">. </w:t>
      </w:r>
      <w:r w:rsidR="001E3F5B" w:rsidRPr="00833114">
        <w:rPr>
          <w:rFonts w:ascii="Times New Roman" w:hAnsi="Times New Roman" w:cs="Times New Roman"/>
        </w:rPr>
        <w:t>Those who demonstrate being in possession of insider knowledge that implicates</w:t>
      </w:r>
      <w:r w:rsidR="00136540" w:rsidRPr="00833114">
        <w:rPr>
          <w:rFonts w:ascii="Times New Roman" w:hAnsi="Times New Roman" w:cs="Times New Roman"/>
        </w:rPr>
        <w:t xml:space="preserve"> a party for being in violation of</w:t>
      </w:r>
      <w:r w:rsidR="001E3F5B" w:rsidRPr="00833114">
        <w:rPr>
          <w:rFonts w:ascii="Times New Roman" w:hAnsi="Times New Roman" w:cs="Times New Roman"/>
        </w:rPr>
        <w:t xml:space="preserve"> the compliance standards </w:t>
      </w:r>
      <w:r w:rsidR="00136540" w:rsidRPr="00833114">
        <w:rPr>
          <w:rFonts w:ascii="Times New Roman" w:hAnsi="Times New Roman" w:cs="Times New Roman"/>
        </w:rPr>
        <w:t xml:space="preserve">will be incentivized so as to </w:t>
      </w:r>
      <w:r w:rsidR="006A4FBA" w:rsidRPr="00833114">
        <w:rPr>
          <w:rFonts w:ascii="Times New Roman" w:hAnsi="Times New Roman" w:cs="Times New Roman"/>
        </w:rPr>
        <w:t xml:space="preserve">make enforcement procedure more robust. </w:t>
      </w:r>
    </w:p>
    <w:p w14:paraId="7B98162D" w14:textId="77777777" w:rsidR="005C735E" w:rsidRPr="00833114" w:rsidRDefault="005C735E" w:rsidP="005C735E">
      <w:pPr>
        <w:pStyle w:val="ListParagraph"/>
        <w:rPr>
          <w:rFonts w:ascii="Times New Roman" w:hAnsi="Times New Roman" w:cs="Times New Roman"/>
        </w:rPr>
      </w:pPr>
    </w:p>
    <w:p w14:paraId="02D334AA" w14:textId="38BF13C4" w:rsidR="005C735E" w:rsidRPr="00833114" w:rsidRDefault="0089298B" w:rsidP="005C735E">
      <w:pPr>
        <w:pStyle w:val="ListParagraph"/>
        <w:numPr>
          <w:ilvl w:val="0"/>
          <w:numId w:val="13"/>
        </w:numPr>
        <w:rPr>
          <w:rFonts w:ascii="Times New Roman" w:hAnsi="Times New Roman" w:cs="Times New Roman"/>
        </w:rPr>
      </w:pPr>
      <w:r w:rsidRPr="00833114">
        <w:rPr>
          <w:rFonts w:ascii="Times New Roman" w:hAnsi="Times New Roman" w:cs="Times New Roman"/>
        </w:rPr>
        <w:t xml:space="preserve">As a part of bolstering enforcement procedure, all countries </w:t>
      </w:r>
      <w:r w:rsidR="007F23AB" w:rsidRPr="00833114">
        <w:rPr>
          <w:rFonts w:ascii="Times New Roman" w:hAnsi="Times New Roman" w:cs="Times New Roman"/>
        </w:rPr>
        <w:t xml:space="preserve">found to be in violation of this treaty by discreetly investing in the development large-scale AI models will be </w:t>
      </w:r>
      <w:r w:rsidR="00C05659" w:rsidRPr="00833114">
        <w:rPr>
          <w:rFonts w:ascii="Times New Roman" w:hAnsi="Times New Roman" w:cs="Times New Roman"/>
        </w:rPr>
        <w:t xml:space="preserve">subject to the various penalties outlined in 5.1. </w:t>
      </w:r>
    </w:p>
    <w:p w14:paraId="5663E8B8" w14:textId="77777777" w:rsidR="0081450A" w:rsidRPr="00833114" w:rsidRDefault="0081450A" w:rsidP="0081450A">
      <w:pPr>
        <w:pStyle w:val="ListParagraph"/>
        <w:rPr>
          <w:rFonts w:ascii="Times New Roman" w:hAnsi="Times New Roman" w:cs="Times New Roman"/>
        </w:rPr>
      </w:pPr>
    </w:p>
    <w:p w14:paraId="6E89F894" w14:textId="15473342" w:rsidR="00EC5461" w:rsidRPr="00833114" w:rsidRDefault="0081450A" w:rsidP="00EC5461">
      <w:pPr>
        <w:pStyle w:val="ListParagraph"/>
        <w:numPr>
          <w:ilvl w:val="1"/>
          <w:numId w:val="13"/>
        </w:numPr>
        <w:rPr>
          <w:rFonts w:ascii="Times New Roman" w:hAnsi="Times New Roman" w:cs="Times New Roman"/>
        </w:rPr>
      </w:pPr>
      <w:r w:rsidRPr="00833114">
        <w:rPr>
          <w:rFonts w:ascii="Times New Roman" w:hAnsi="Times New Roman" w:cs="Times New Roman"/>
        </w:rPr>
        <w:t xml:space="preserve">Any information transmitted between </w:t>
      </w:r>
      <w:r w:rsidR="00D371A4" w:rsidRPr="00833114">
        <w:rPr>
          <w:rFonts w:ascii="Times New Roman" w:hAnsi="Times New Roman" w:cs="Times New Roman"/>
        </w:rPr>
        <w:t xml:space="preserve">Parties to the Treaty regarding the furthering of the capabilities of large-scale AI </w:t>
      </w:r>
      <w:r w:rsidR="00EC5461" w:rsidRPr="00833114">
        <w:rPr>
          <w:rFonts w:ascii="Times New Roman" w:hAnsi="Times New Roman" w:cs="Times New Roman"/>
        </w:rPr>
        <w:t xml:space="preserve">is discouraged unless done so in the light of </w:t>
      </w:r>
      <w:r w:rsidR="00FA2635" w:rsidRPr="00833114">
        <w:rPr>
          <w:rFonts w:ascii="Times New Roman" w:hAnsi="Times New Roman" w:cs="Times New Roman"/>
        </w:rPr>
        <w:t xml:space="preserve">creating preventative measures. </w:t>
      </w:r>
    </w:p>
    <w:p w14:paraId="090E5C24" w14:textId="77777777" w:rsidR="00E27640" w:rsidRPr="00833114" w:rsidRDefault="00E27640" w:rsidP="00657309">
      <w:pPr>
        <w:rPr>
          <w:rFonts w:ascii="Times New Roman" w:hAnsi="Times New Roman" w:cs="Times New Roman"/>
        </w:rPr>
      </w:pPr>
    </w:p>
    <w:p w14:paraId="7253884C" w14:textId="245A323E" w:rsidR="00954987" w:rsidRPr="00E05321" w:rsidRDefault="00954987" w:rsidP="00657309">
      <w:pPr>
        <w:rPr>
          <w:rFonts w:ascii="Times New Roman" w:hAnsi="Times New Roman" w:cs="Times New Roman"/>
          <w:b/>
          <w:bCs/>
        </w:rPr>
      </w:pPr>
      <w:r w:rsidRPr="00E05321">
        <w:rPr>
          <w:rFonts w:ascii="Times New Roman" w:hAnsi="Times New Roman" w:cs="Times New Roman"/>
          <w:b/>
          <w:bCs/>
        </w:rPr>
        <w:t>Article</w:t>
      </w:r>
      <w:r w:rsidR="00E05321" w:rsidRPr="00E05321">
        <w:rPr>
          <w:rFonts w:ascii="Times New Roman" w:hAnsi="Times New Roman" w:cs="Times New Roman"/>
          <w:b/>
          <w:bCs/>
        </w:rPr>
        <w:t xml:space="preserve"> VIII</w:t>
      </w:r>
    </w:p>
    <w:p w14:paraId="0658426A" w14:textId="77777777" w:rsidR="004454A7" w:rsidRPr="00833114" w:rsidRDefault="004454A7" w:rsidP="00657309">
      <w:pPr>
        <w:rPr>
          <w:rFonts w:ascii="Times New Roman" w:hAnsi="Times New Roman" w:cs="Times New Roman"/>
        </w:rPr>
      </w:pPr>
    </w:p>
    <w:p w14:paraId="151D23B2" w14:textId="4E2F7D9F" w:rsidR="004454A7" w:rsidRPr="00833114" w:rsidRDefault="00CE24C3" w:rsidP="004063EB">
      <w:pPr>
        <w:pStyle w:val="ListParagraph"/>
        <w:numPr>
          <w:ilvl w:val="0"/>
          <w:numId w:val="19"/>
        </w:numPr>
        <w:rPr>
          <w:rFonts w:ascii="Times New Roman" w:hAnsi="Times New Roman" w:cs="Times New Roman"/>
        </w:rPr>
      </w:pPr>
      <w:r w:rsidRPr="00833114">
        <w:rPr>
          <w:rFonts w:ascii="Times New Roman" w:hAnsi="Times New Roman" w:cs="Times New Roman"/>
        </w:rPr>
        <w:t>A globally supervising authority on AI is to be established through the World AI Authority Institute (WAAI)</w:t>
      </w:r>
    </w:p>
    <w:p w14:paraId="18884439" w14:textId="77777777" w:rsidR="004063EB" w:rsidRPr="00833114" w:rsidRDefault="004063EB" w:rsidP="004063EB">
      <w:pPr>
        <w:rPr>
          <w:rFonts w:ascii="Times New Roman" w:hAnsi="Times New Roman" w:cs="Times New Roman"/>
        </w:rPr>
      </w:pPr>
    </w:p>
    <w:p w14:paraId="3F9E8437" w14:textId="0542202C" w:rsidR="004063EB" w:rsidRPr="00833114" w:rsidRDefault="004063EB" w:rsidP="004063EB">
      <w:pPr>
        <w:pStyle w:val="ListParagraph"/>
        <w:numPr>
          <w:ilvl w:val="1"/>
          <w:numId w:val="18"/>
        </w:numPr>
        <w:rPr>
          <w:rFonts w:ascii="Times New Roman" w:hAnsi="Times New Roman" w:cs="Times New Roman"/>
        </w:rPr>
      </w:pPr>
      <w:r w:rsidRPr="00833114">
        <w:rPr>
          <w:rFonts w:ascii="Times New Roman" w:hAnsi="Times New Roman" w:cs="Times New Roman"/>
        </w:rPr>
        <w:t xml:space="preserve">The goal of WAAI is to </w:t>
      </w:r>
      <w:r w:rsidR="00046109" w:rsidRPr="00833114">
        <w:rPr>
          <w:rFonts w:ascii="Times New Roman" w:hAnsi="Times New Roman" w:cs="Times New Roman"/>
        </w:rPr>
        <w:t xml:space="preserve">supervise developments in AI and to specifically </w:t>
      </w:r>
      <w:r w:rsidR="002255DD" w:rsidRPr="00833114">
        <w:rPr>
          <w:rFonts w:ascii="Times New Roman" w:hAnsi="Times New Roman" w:cs="Times New Roman"/>
        </w:rPr>
        <w:t xml:space="preserve">focus on creating standards for AI safety as well as standards for stable innovation </w:t>
      </w:r>
    </w:p>
    <w:p w14:paraId="435F4071" w14:textId="77777777" w:rsidR="009A54B5" w:rsidRPr="00833114" w:rsidRDefault="009A54B5" w:rsidP="009A54B5">
      <w:pPr>
        <w:rPr>
          <w:rFonts w:ascii="Times New Roman" w:hAnsi="Times New Roman" w:cs="Times New Roman"/>
        </w:rPr>
      </w:pPr>
    </w:p>
    <w:p w14:paraId="20C2CD56" w14:textId="6195B35A" w:rsidR="009A54B5" w:rsidRPr="00833114" w:rsidRDefault="00822FE8" w:rsidP="009A54B5">
      <w:pPr>
        <w:pStyle w:val="ListParagraph"/>
        <w:numPr>
          <w:ilvl w:val="1"/>
          <w:numId w:val="18"/>
        </w:numPr>
        <w:rPr>
          <w:rFonts w:ascii="Times New Roman" w:hAnsi="Times New Roman" w:cs="Times New Roman"/>
        </w:rPr>
      </w:pPr>
      <w:r w:rsidRPr="00833114">
        <w:rPr>
          <w:rFonts w:ascii="Times New Roman" w:hAnsi="Times New Roman" w:cs="Times New Roman"/>
        </w:rPr>
        <w:t xml:space="preserve">The board of </w:t>
      </w:r>
      <w:r w:rsidR="009A54B5" w:rsidRPr="00833114">
        <w:rPr>
          <w:rFonts w:ascii="Times New Roman" w:hAnsi="Times New Roman" w:cs="Times New Roman"/>
        </w:rPr>
        <w:t xml:space="preserve">WAAI will be composed of elected members who specialize in a myriad of fields, including but not limited to: AI, Philosophy, </w:t>
      </w:r>
      <w:r w:rsidRPr="00833114">
        <w:rPr>
          <w:rFonts w:ascii="Times New Roman" w:hAnsi="Times New Roman" w:cs="Times New Roman"/>
        </w:rPr>
        <w:t xml:space="preserve">and Cybersecurity. </w:t>
      </w:r>
    </w:p>
    <w:p w14:paraId="6B5C477D" w14:textId="77777777" w:rsidR="004063EB" w:rsidRPr="00833114" w:rsidRDefault="004063EB" w:rsidP="004063EB">
      <w:pPr>
        <w:pStyle w:val="ListParagraph"/>
        <w:ind w:left="1440"/>
        <w:rPr>
          <w:rFonts w:ascii="Times New Roman" w:hAnsi="Times New Roman" w:cs="Times New Roman"/>
        </w:rPr>
      </w:pPr>
    </w:p>
    <w:p w14:paraId="0DDC3A4C" w14:textId="0C868099" w:rsidR="00822FE8" w:rsidRPr="00833114" w:rsidRDefault="00822FE8" w:rsidP="00822FE8">
      <w:pPr>
        <w:pStyle w:val="ListParagraph"/>
        <w:numPr>
          <w:ilvl w:val="1"/>
          <w:numId w:val="18"/>
        </w:numPr>
        <w:rPr>
          <w:rFonts w:ascii="Times New Roman" w:hAnsi="Times New Roman" w:cs="Times New Roman"/>
        </w:rPr>
      </w:pPr>
      <w:r w:rsidRPr="00833114">
        <w:rPr>
          <w:rFonts w:ascii="Times New Roman" w:hAnsi="Times New Roman" w:cs="Times New Roman"/>
        </w:rPr>
        <w:t xml:space="preserve">WAAI </w:t>
      </w:r>
      <w:r w:rsidR="003B5E73" w:rsidRPr="00833114">
        <w:rPr>
          <w:rFonts w:ascii="Times New Roman" w:hAnsi="Times New Roman" w:cs="Times New Roman"/>
        </w:rPr>
        <w:t xml:space="preserve">has the authority of approving of various AI </w:t>
      </w:r>
      <w:r w:rsidR="00A86D24" w:rsidRPr="00833114">
        <w:rPr>
          <w:rFonts w:ascii="Times New Roman" w:hAnsi="Times New Roman" w:cs="Times New Roman"/>
        </w:rPr>
        <w:t xml:space="preserve">projects, and is specifically tasked with monitoring and restricting development in large-scale and powerful AI. </w:t>
      </w:r>
    </w:p>
    <w:p w14:paraId="24952C06" w14:textId="77777777" w:rsidR="003E545E" w:rsidRPr="00833114" w:rsidRDefault="003E545E" w:rsidP="003E545E">
      <w:pPr>
        <w:pStyle w:val="ListParagraph"/>
        <w:rPr>
          <w:rFonts w:ascii="Times New Roman" w:hAnsi="Times New Roman" w:cs="Times New Roman"/>
        </w:rPr>
      </w:pPr>
    </w:p>
    <w:p w14:paraId="552FC493" w14:textId="34E4F9B5" w:rsidR="003E545E" w:rsidRPr="00833114" w:rsidRDefault="003E545E" w:rsidP="005B142D">
      <w:pPr>
        <w:pStyle w:val="ListParagraph"/>
        <w:numPr>
          <w:ilvl w:val="0"/>
          <w:numId w:val="19"/>
        </w:numPr>
        <w:rPr>
          <w:rFonts w:ascii="Times New Roman" w:hAnsi="Times New Roman" w:cs="Times New Roman"/>
        </w:rPr>
      </w:pPr>
      <w:r w:rsidRPr="00833114">
        <w:rPr>
          <w:rFonts w:ascii="Times New Roman" w:hAnsi="Times New Roman" w:cs="Times New Roman"/>
        </w:rPr>
        <w:t xml:space="preserve">This supervising authority will also be responsible for the </w:t>
      </w:r>
      <w:r w:rsidR="00C65895" w:rsidRPr="00833114">
        <w:rPr>
          <w:rFonts w:ascii="Times New Roman" w:hAnsi="Times New Roman" w:cs="Times New Roman"/>
        </w:rPr>
        <w:t xml:space="preserve">adoption of various soft laws. </w:t>
      </w:r>
    </w:p>
    <w:p w14:paraId="0C7B6B65" w14:textId="65D06465" w:rsidR="00C65895" w:rsidRPr="00833114" w:rsidRDefault="00C65895" w:rsidP="00C65895">
      <w:pPr>
        <w:pStyle w:val="ListParagraph"/>
        <w:rPr>
          <w:rFonts w:ascii="Times New Roman" w:hAnsi="Times New Roman" w:cs="Times New Roman"/>
        </w:rPr>
      </w:pPr>
      <w:r w:rsidRPr="00833114">
        <w:rPr>
          <w:rFonts w:ascii="Times New Roman" w:hAnsi="Times New Roman" w:cs="Times New Roman"/>
        </w:rPr>
        <w:t xml:space="preserve">Soft laws refer to </w:t>
      </w:r>
      <w:r w:rsidR="00A84B7C" w:rsidRPr="00833114">
        <w:rPr>
          <w:rFonts w:ascii="Times New Roman" w:hAnsi="Times New Roman" w:cs="Times New Roman"/>
        </w:rPr>
        <w:t xml:space="preserve">quasi-legal tools that, although are not legally binding, </w:t>
      </w:r>
      <w:r w:rsidR="00655EF9">
        <w:rPr>
          <w:rFonts w:ascii="Times New Roman" w:hAnsi="Times New Roman" w:cs="Times New Roman"/>
        </w:rPr>
        <w:t xml:space="preserve">are </w:t>
      </w:r>
      <w:r w:rsidR="00A84B7C" w:rsidRPr="00833114">
        <w:rPr>
          <w:rFonts w:ascii="Times New Roman" w:hAnsi="Times New Roman" w:cs="Times New Roman"/>
        </w:rPr>
        <w:t xml:space="preserve">considered to be </w:t>
      </w:r>
      <w:r w:rsidR="00916834" w:rsidRPr="00833114">
        <w:rPr>
          <w:rFonts w:ascii="Times New Roman" w:hAnsi="Times New Roman" w:cs="Times New Roman"/>
        </w:rPr>
        <w:t xml:space="preserve">etiquette or standard for specific practices. By adopting a ready set of soft laws for AI, development </w:t>
      </w:r>
      <w:r w:rsidR="005B142D" w:rsidRPr="00833114">
        <w:rPr>
          <w:rFonts w:ascii="Times New Roman" w:hAnsi="Times New Roman" w:cs="Times New Roman"/>
        </w:rPr>
        <w:t xml:space="preserve">in the future will become safer. </w:t>
      </w:r>
    </w:p>
    <w:p w14:paraId="1DB963AD" w14:textId="0D4928F4" w:rsidR="004063EB" w:rsidRPr="00833114" w:rsidRDefault="004063EB" w:rsidP="004063EB">
      <w:pPr>
        <w:pStyle w:val="ListParagraph"/>
        <w:ind w:left="1440"/>
        <w:rPr>
          <w:rFonts w:ascii="Times New Roman" w:hAnsi="Times New Roman" w:cs="Times New Roman"/>
        </w:rPr>
      </w:pPr>
    </w:p>
    <w:p w14:paraId="72133FB7" w14:textId="1DB86CF4" w:rsidR="00473D1A" w:rsidRPr="00833114" w:rsidRDefault="00C967CC" w:rsidP="008714C5">
      <w:pPr>
        <w:pStyle w:val="ListParagraph"/>
        <w:rPr>
          <w:rFonts w:ascii="Times New Roman" w:hAnsi="Times New Roman" w:cs="Times New Roman"/>
        </w:rPr>
      </w:pPr>
      <w:r w:rsidRPr="00833114">
        <w:rPr>
          <w:rFonts w:ascii="Times New Roman" w:hAnsi="Times New Roman" w:cs="Times New Roman"/>
        </w:rPr>
        <w:t xml:space="preserve"> </w:t>
      </w:r>
    </w:p>
    <w:p w14:paraId="418072AF" w14:textId="09776925" w:rsidR="00473D1A" w:rsidRPr="00E05321" w:rsidRDefault="00473D1A" w:rsidP="00657309">
      <w:pPr>
        <w:rPr>
          <w:rFonts w:ascii="Times New Roman" w:hAnsi="Times New Roman" w:cs="Times New Roman"/>
          <w:b/>
          <w:bCs/>
        </w:rPr>
      </w:pPr>
      <w:r w:rsidRPr="00E05321">
        <w:rPr>
          <w:rFonts w:ascii="Times New Roman" w:hAnsi="Times New Roman" w:cs="Times New Roman"/>
          <w:b/>
          <w:bCs/>
        </w:rPr>
        <w:t xml:space="preserve">Article </w:t>
      </w:r>
      <w:r w:rsidR="00E05321" w:rsidRPr="00E05321">
        <w:rPr>
          <w:rFonts w:ascii="Times New Roman" w:hAnsi="Times New Roman" w:cs="Times New Roman"/>
          <w:b/>
          <w:bCs/>
        </w:rPr>
        <w:t>IX</w:t>
      </w:r>
    </w:p>
    <w:p w14:paraId="26A8DFE2" w14:textId="77777777" w:rsidR="00340AA1" w:rsidRPr="00833114" w:rsidRDefault="00340AA1" w:rsidP="00657309">
      <w:pPr>
        <w:rPr>
          <w:rFonts w:ascii="Times New Roman" w:hAnsi="Times New Roman" w:cs="Times New Roman"/>
        </w:rPr>
      </w:pPr>
    </w:p>
    <w:p w14:paraId="41EF505C" w14:textId="77777777" w:rsidR="00760F78" w:rsidRPr="00833114" w:rsidRDefault="00340AA1" w:rsidP="00340AA1">
      <w:pPr>
        <w:pStyle w:val="ListParagraph"/>
        <w:numPr>
          <w:ilvl w:val="0"/>
          <w:numId w:val="14"/>
        </w:numPr>
        <w:rPr>
          <w:rFonts w:ascii="Times New Roman" w:hAnsi="Times New Roman" w:cs="Times New Roman"/>
        </w:rPr>
      </w:pPr>
      <w:r w:rsidRPr="00833114">
        <w:rPr>
          <w:rFonts w:ascii="Times New Roman" w:hAnsi="Times New Roman" w:cs="Times New Roman"/>
        </w:rPr>
        <w:t xml:space="preserve">All </w:t>
      </w:r>
      <w:r w:rsidR="00760F78" w:rsidRPr="00833114">
        <w:rPr>
          <w:rFonts w:ascii="Times New Roman" w:hAnsi="Times New Roman" w:cs="Times New Roman"/>
        </w:rPr>
        <w:t>AI-based projects from official entities, such as corporations, requires approval from a branch of the WAAI, a supervising power in AI development, established by this treaty.</w:t>
      </w:r>
    </w:p>
    <w:p w14:paraId="421DCF35" w14:textId="636816FC" w:rsidR="0090035E" w:rsidRPr="00833114" w:rsidRDefault="0090035E" w:rsidP="0090035E">
      <w:pPr>
        <w:pStyle w:val="ListParagraph"/>
        <w:rPr>
          <w:rFonts w:ascii="Times New Roman" w:hAnsi="Times New Roman" w:cs="Times New Roman"/>
        </w:rPr>
      </w:pPr>
    </w:p>
    <w:p w14:paraId="7F36A40F" w14:textId="74214E29" w:rsidR="0090035E" w:rsidRPr="00833114" w:rsidRDefault="0090035E" w:rsidP="0090035E">
      <w:pPr>
        <w:pStyle w:val="ListParagraph"/>
        <w:numPr>
          <w:ilvl w:val="0"/>
          <w:numId w:val="27"/>
        </w:numPr>
        <w:rPr>
          <w:rFonts w:ascii="Times New Roman" w:hAnsi="Times New Roman" w:cs="Times New Roman"/>
        </w:rPr>
      </w:pPr>
      <w:r w:rsidRPr="00833114">
        <w:rPr>
          <w:rFonts w:ascii="Times New Roman" w:hAnsi="Times New Roman" w:cs="Times New Roman"/>
        </w:rPr>
        <w:t xml:space="preserve">Continued development of the project despite failure to obtain approval from the WAAI is </w:t>
      </w:r>
      <w:r w:rsidR="00D06272" w:rsidRPr="00833114">
        <w:rPr>
          <w:rFonts w:ascii="Times New Roman" w:hAnsi="Times New Roman" w:cs="Times New Roman"/>
        </w:rPr>
        <w:t>subject to punishment as outlined by 5.1.</w:t>
      </w:r>
    </w:p>
    <w:p w14:paraId="0557C7AC" w14:textId="77777777" w:rsidR="00CF3779" w:rsidRPr="00833114" w:rsidRDefault="00CF3779" w:rsidP="00CF3779">
      <w:pPr>
        <w:rPr>
          <w:rFonts w:ascii="Times New Roman" w:hAnsi="Times New Roman" w:cs="Times New Roman"/>
        </w:rPr>
      </w:pPr>
    </w:p>
    <w:p w14:paraId="575D187A" w14:textId="6957006C" w:rsidR="00CF3779" w:rsidRPr="00833114" w:rsidRDefault="00CF3779" w:rsidP="00CF3779">
      <w:pPr>
        <w:pStyle w:val="ListParagraph"/>
        <w:numPr>
          <w:ilvl w:val="0"/>
          <w:numId w:val="27"/>
        </w:numPr>
        <w:rPr>
          <w:rFonts w:ascii="Times New Roman" w:hAnsi="Times New Roman" w:cs="Times New Roman"/>
        </w:rPr>
      </w:pPr>
      <w:r w:rsidRPr="00833114">
        <w:rPr>
          <w:rFonts w:ascii="Times New Roman" w:hAnsi="Times New Roman" w:cs="Times New Roman"/>
        </w:rPr>
        <w:t>In the case that an application for a project is rejected, that decision may be appealed</w:t>
      </w:r>
      <w:r w:rsidR="00D47AD5">
        <w:rPr>
          <w:rFonts w:ascii="Times New Roman" w:hAnsi="Times New Roman" w:cs="Times New Roman"/>
        </w:rPr>
        <w:t xml:space="preserve"> for reconsideration. </w:t>
      </w:r>
    </w:p>
    <w:p w14:paraId="06396C26" w14:textId="56D8D480" w:rsidR="00CF3779" w:rsidRPr="00833114" w:rsidRDefault="00CF3779" w:rsidP="00CF3779">
      <w:pPr>
        <w:rPr>
          <w:rFonts w:ascii="Times New Roman" w:hAnsi="Times New Roman" w:cs="Times New Roman"/>
        </w:rPr>
      </w:pPr>
    </w:p>
    <w:p w14:paraId="20015A64" w14:textId="56D44864" w:rsidR="00CF3779" w:rsidRPr="00833114" w:rsidRDefault="00983FBA" w:rsidP="00CF3779">
      <w:pPr>
        <w:pStyle w:val="ListParagraph"/>
        <w:numPr>
          <w:ilvl w:val="0"/>
          <w:numId w:val="27"/>
        </w:numPr>
        <w:rPr>
          <w:rFonts w:ascii="Times New Roman" w:hAnsi="Times New Roman" w:cs="Times New Roman"/>
        </w:rPr>
      </w:pPr>
      <w:r w:rsidRPr="00833114">
        <w:rPr>
          <w:rFonts w:ascii="Times New Roman" w:hAnsi="Times New Roman" w:cs="Times New Roman"/>
        </w:rPr>
        <w:t>If the application for a project is accepted, but the scope or contents of the project change substantially, reapplication is necessary. Failure to reapply under these circumstances is punishable as outlined by 5.1.</w:t>
      </w:r>
    </w:p>
    <w:p w14:paraId="6332FC03" w14:textId="77777777" w:rsidR="0000488F" w:rsidRPr="00833114" w:rsidRDefault="0000488F" w:rsidP="0000488F">
      <w:pPr>
        <w:rPr>
          <w:rFonts w:ascii="Times New Roman" w:hAnsi="Times New Roman" w:cs="Times New Roman"/>
        </w:rPr>
      </w:pPr>
    </w:p>
    <w:p w14:paraId="7D262A16" w14:textId="77777777" w:rsidR="00983FBA" w:rsidRPr="00833114" w:rsidRDefault="00983FBA" w:rsidP="0000488F">
      <w:pPr>
        <w:rPr>
          <w:rFonts w:ascii="Times New Roman" w:hAnsi="Times New Roman" w:cs="Times New Roman"/>
        </w:rPr>
      </w:pPr>
    </w:p>
    <w:p w14:paraId="7A1F1574" w14:textId="00EB05B9" w:rsidR="0000488F" w:rsidRPr="00833114" w:rsidRDefault="00F209E7" w:rsidP="0000488F">
      <w:pPr>
        <w:pStyle w:val="ListParagraph"/>
        <w:numPr>
          <w:ilvl w:val="0"/>
          <w:numId w:val="14"/>
        </w:numPr>
        <w:rPr>
          <w:rFonts w:ascii="Times New Roman" w:hAnsi="Times New Roman" w:cs="Times New Roman"/>
        </w:rPr>
      </w:pPr>
      <w:r w:rsidRPr="00833114">
        <w:rPr>
          <w:rFonts w:ascii="Times New Roman" w:hAnsi="Times New Roman" w:cs="Times New Roman"/>
        </w:rPr>
        <w:t xml:space="preserve">Parties to the Treaty are unable </w:t>
      </w:r>
      <w:r w:rsidR="0000488F" w:rsidRPr="00833114">
        <w:rPr>
          <w:rFonts w:ascii="Times New Roman" w:hAnsi="Times New Roman" w:cs="Times New Roman"/>
        </w:rPr>
        <w:t>to interfere and advocate for the acceptance of specific projects</w:t>
      </w:r>
      <w:r w:rsidR="004A0124" w:rsidRPr="00833114">
        <w:rPr>
          <w:rFonts w:ascii="Times New Roman" w:hAnsi="Times New Roman" w:cs="Times New Roman"/>
        </w:rPr>
        <w:t>.</w:t>
      </w:r>
      <w:r w:rsidR="0000488F" w:rsidRPr="00833114">
        <w:rPr>
          <w:rFonts w:ascii="Times New Roman" w:hAnsi="Times New Roman" w:cs="Times New Roman"/>
        </w:rPr>
        <w:t xml:space="preserve"> </w:t>
      </w:r>
    </w:p>
    <w:p w14:paraId="51065A35" w14:textId="77777777" w:rsidR="00734DA8" w:rsidRPr="00833114" w:rsidRDefault="00734DA8" w:rsidP="00657309">
      <w:pPr>
        <w:rPr>
          <w:rFonts w:ascii="Times New Roman" w:hAnsi="Times New Roman" w:cs="Times New Roman"/>
        </w:rPr>
      </w:pPr>
    </w:p>
    <w:p w14:paraId="1C2C9EC6" w14:textId="46992E07" w:rsidR="007B41B6" w:rsidRPr="00E05321" w:rsidRDefault="007B41B6" w:rsidP="00657309">
      <w:pPr>
        <w:rPr>
          <w:rFonts w:ascii="Times New Roman" w:hAnsi="Times New Roman" w:cs="Times New Roman"/>
          <w:b/>
          <w:bCs/>
        </w:rPr>
      </w:pPr>
      <w:r w:rsidRPr="00E05321">
        <w:rPr>
          <w:rFonts w:ascii="Times New Roman" w:hAnsi="Times New Roman" w:cs="Times New Roman"/>
          <w:b/>
          <w:bCs/>
        </w:rPr>
        <w:t xml:space="preserve">Article </w:t>
      </w:r>
      <w:r w:rsidR="00E05321" w:rsidRPr="00E05321">
        <w:rPr>
          <w:rFonts w:ascii="Times New Roman" w:hAnsi="Times New Roman" w:cs="Times New Roman"/>
          <w:b/>
          <w:bCs/>
        </w:rPr>
        <w:t>X</w:t>
      </w:r>
    </w:p>
    <w:p w14:paraId="3E321228" w14:textId="77777777" w:rsidR="00AA49A8" w:rsidRPr="00833114" w:rsidRDefault="00AA49A8" w:rsidP="00657309">
      <w:pPr>
        <w:rPr>
          <w:rFonts w:ascii="Times New Roman" w:hAnsi="Times New Roman" w:cs="Times New Roman"/>
        </w:rPr>
      </w:pPr>
    </w:p>
    <w:p w14:paraId="776FAA40" w14:textId="02DC5803" w:rsidR="00AA49A8" w:rsidRPr="00833114" w:rsidRDefault="00B22292" w:rsidP="00AA49A8">
      <w:pPr>
        <w:pStyle w:val="ListParagraph"/>
        <w:numPr>
          <w:ilvl w:val="0"/>
          <w:numId w:val="17"/>
        </w:numPr>
        <w:rPr>
          <w:rFonts w:ascii="Times New Roman" w:hAnsi="Times New Roman" w:cs="Times New Roman"/>
        </w:rPr>
      </w:pPr>
      <w:r w:rsidRPr="00833114">
        <w:rPr>
          <w:rFonts w:ascii="Times New Roman" w:hAnsi="Times New Roman" w:cs="Times New Roman"/>
        </w:rPr>
        <w:t>WAAI branches</w:t>
      </w:r>
      <w:r w:rsidR="00AA49A8" w:rsidRPr="00833114">
        <w:rPr>
          <w:rFonts w:ascii="Times New Roman" w:hAnsi="Times New Roman" w:cs="Times New Roman"/>
        </w:rPr>
        <w:t xml:space="preserve"> will be encouraged to f</w:t>
      </w:r>
      <w:r w:rsidR="00D8082C">
        <w:rPr>
          <w:rFonts w:ascii="Times New Roman" w:hAnsi="Times New Roman" w:cs="Times New Roman"/>
        </w:rPr>
        <w:t>orm</w:t>
      </w:r>
      <w:r w:rsidR="00AA49A8" w:rsidRPr="00833114">
        <w:rPr>
          <w:rFonts w:ascii="Times New Roman" w:hAnsi="Times New Roman" w:cs="Times New Roman"/>
        </w:rPr>
        <w:t xml:space="preserve"> at provincial levels in order to gain access to more information and </w:t>
      </w:r>
      <w:r w:rsidR="00D8082C">
        <w:rPr>
          <w:rFonts w:ascii="Times New Roman" w:hAnsi="Times New Roman" w:cs="Times New Roman"/>
        </w:rPr>
        <w:t>obtain</w:t>
      </w:r>
      <w:r w:rsidR="00AA49A8" w:rsidRPr="00833114">
        <w:rPr>
          <w:rFonts w:ascii="Times New Roman" w:hAnsi="Times New Roman" w:cs="Times New Roman"/>
        </w:rPr>
        <w:t xml:space="preserve"> a better understanding of the development of AI and AI safety standards. </w:t>
      </w:r>
    </w:p>
    <w:p w14:paraId="70E7FB6C" w14:textId="77777777" w:rsidR="00563B32" w:rsidRPr="00833114" w:rsidRDefault="00563B32" w:rsidP="00563B32">
      <w:pPr>
        <w:rPr>
          <w:rFonts w:ascii="Times New Roman" w:hAnsi="Times New Roman" w:cs="Times New Roman"/>
        </w:rPr>
      </w:pPr>
    </w:p>
    <w:p w14:paraId="147E528E" w14:textId="7DDC22C4" w:rsidR="00AA49A8" w:rsidRPr="00833114" w:rsidRDefault="00AA49A8" w:rsidP="00AA49A8">
      <w:pPr>
        <w:pStyle w:val="ListParagraph"/>
        <w:numPr>
          <w:ilvl w:val="0"/>
          <w:numId w:val="17"/>
        </w:numPr>
        <w:rPr>
          <w:rFonts w:ascii="Times New Roman" w:hAnsi="Times New Roman" w:cs="Times New Roman"/>
        </w:rPr>
      </w:pPr>
      <w:r w:rsidRPr="00833114">
        <w:rPr>
          <w:rFonts w:ascii="Times New Roman" w:hAnsi="Times New Roman" w:cs="Times New Roman"/>
        </w:rPr>
        <w:t xml:space="preserve">Communication among these branches will not be strictly hierarchical so that </w:t>
      </w:r>
      <w:r w:rsidR="00A21D57" w:rsidRPr="00833114">
        <w:rPr>
          <w:rFonts w:ascii="Times New Roman" w:hAnsi="Times New Roman" w:cs="Times New Roman"/>
        </w:rPr>
        <w:t>more</w:t>
      </w:r>
      <w:r w:rsidRPr="00833114">
        <w:rPr>
          <w:rFonts w:ascii="Times New Roman" w:hAnsi="Times New Roman" w:cs="Times New Roman"/>
        </w:rPr>
        <w:t xml:space="preserve"> interconnectivity is present, and more communication among branches is fostered </w:t>
      </w:r>
      <w:r w:rsidR="00A21D57" w:rsidRPr="00833114">
        <w:rPr>
          <w:rFonts w:ascii="Times New Roman" w:hAnsi="Times New Roman" w:cs="Times New Roman"/>
        </w:rPr>
        <w:t xml:space="preserve">so that AI safety can be more thoroughly evaluated. </w:t>
      </w:r>
    </w:p>
    <w:p w14:paraId="2E36CFDA" w14:textId="77777777" w:rsidR="008C3E4B" w:rsidRPr="00833114" w:rsidRDefault="008C3E4B" w:rsidP="00657309">
      <w:pPr>
        <w:rPr>
          <w:rFonts w:ascii="Times New Roman" w:hAnsi="Times New Roman" w:cs="Times New Roman"/>
        </w:rPr>
      </w:pPr>
    </w:p>
    <w:p w14:paraId="7C76B027" w14:textId="77777777" w:rsidR="00734DA8" w:rsidRPr="00833114" w:rsidRDefault="00734DA8" w:rsidP="00657309">
      <w:pPr>
        <w:rPr>
          <w:rFonts w:ascii="Times New Roman" w:hAnsi="Times New Roman" w:cs="Times New Roman"/>
        </w:rPr>
      </w:pPr>
    </w:p>
    <w:p w14:paraId="6DF47A25" w14:textId="7C9FA529" w:rsidR="008C3E4B" w:rsidRPr="00E05321" w:rsidRDefault="008C3E4B" w:rsidP="00657309">
      <w:pPr>
        <w:rPr>
          <w:rFonts w:ascii="Times New Roman" w:hAnsi="Times New Roman" w:cs="Times New Roman"/>
          <w:b/>
          <w:bCs/>
        </w:rPr>
      </w:pPr>
      <w:r w:rsidRPr="00E05321">
        <w:rPr>
          <w:rFonts w:ascii="Times New Roman" w:hAnsi="Times New Roman" w:cs="Times New Roman"/>
          <w:b/>
          <w:bCs/>
        </w:rPr>
        <w:t xml:space="preserve">Article </w:t>
      </w:r>
      <w:r w:rsidR="00E05321" w:rsidRPr="00E05321">
        <w:rPr>
          <w:rFonts w:ascii="Times New Roman" w:hAnsi="Times New Roman" w:cs="Times New Roman"/>
          <w:b/>
          <w:bCs/>
        </w:rPr>
        <w:t>XI</w:t>
      </w:r>
    </w:p>
    <w:p w14:paraId="71150796" w14:textId="77777777" w:rsidR="00611CDB" w:rsidRPr="00833114" w:rsidRDefault="00611CDB" w:rsidP="00657309">
      <w:pPr>
        <w:rPr>
          <w:rFonts w:ascii="Times New Roman" w:hAnsi="Times New Roman" w:cs="Times New Roman"/>
        </w:rPr>
      </w:pPr>
    </w:p>
    <w:p w14:paraId="05E22729" w14:textId="77777777" w:rsidR="00537CEC" w:rsidRPr="00833114" w:rsidRDefault="00611CDB" w:rsidP="00537CEC">
      <w:pPr>
        <w:pStyle w:val="ListParagraph"/>
        <w:numPr>
          <w:ilvl w:val="0"/>
          <w:numId w:val="15"/>
        </w:numPr>
        <w:rPr>
          <w:rFonts w:ascii="Times New Roman" w:hAnsi="Times New Roman" w:cs="Times New Roman"/>
        </w:rPr>
      </w:pPr>
      <w:r w:rsidRPr="00833114">
        <w:rPr>
          <w:rFonts w:ascii="Times New Roman" w:hAnsi="Times New Roman" w:cs="Times New Roman"/>
        </w:rPr>
        <w:t xml:space="preserve">Funds </w:t>
      </w:r>
      <w:r w:rsidR="00734DA8" w:rsidRPr="00833114">
        <w:rPr>
          <w:rFonts w:ascii="Times New Roman" w:hAnsi="Times New Roman" w:cs="Times New Roman"/>
        </w:rPr>
        <w:t xml:space="preserve">will be allocated </w:t>
      </w:r>
      <w:r w:rsidR="009239D9" w:rsidRPr="00833114">
        <w:rPr>
          <w:rFonts w:ascii="Times New Roman" w:hAnsi="Times New Roman" w:cs="Times New Roman"/>
        </w:rPr>
        <w:t>and dispersed proportionally to the Parties to the Treaty so as to improve public comprehension of AI and to improve awareness of the dangers it poses</w:t>
      </w:r>
      <w:r w:rsidR="00537CEC" w:rsidRPr="00833114">
        <w:rPr>
          <w:rFonts w:ascii="Times New Roman" w:hAnsi="Times New Roman" w:cs="Times New Roman"/>
        </w:rPr>
        <w:t>.</w:t>
      </w:r>
    </w:p>
    <w:p w14:paraId="69BAF1BB" w14:textId="77777777" w:rsidR="00537CEC" w:rsidRPr="00833114" w:rsidRDefault="00537CEC" w:rsidP="00537CEC">
      <w:pPr>
        <w:rPr>
          <w:rFonts w:ascii="Times New Roman" w:hAnsi="Times New Roman" w:cs="Times New Roman"/>
        </w:rPr>
      </w:pPr>
    </w:p>
    <w:p w14:paraId="42A0BD2D" w14:textId="34D9F0FE" w:rsidR="00611CDB" w:rsidRPr="00833114" w:rsidRDefault="00537CEC" w:rsidP="00537CEC">
      <w:pPr>
        <w:pStyle w:val="ListParagraph"/>
        <w:numPr>
          <w:ilvl w:val="0"/>
          <w:numId w:val="30"/>
        </w:numPr>
        <w:rPr>
          <w:rFonts w:ascii="Times New Roman" w:hAnsi="Times New Roman" w:cs="Times New Roman"/>
        </w:rPr>
      </w:pPr>
      <w:r w:rsidRPr="00833114">
        <w:rPr>
          <w:rFonts w:ascii="Times New Roman" w:hAnsi="Times New Roman" w:cs="Times New Roman"/>
        </w:rPr>
        <w:lastRenderedPageBreak/>
        <w:t xml:space="preserve">These funds </w:t>
      </w:r>
      <w:r w:rsidR="0019577C" w:rsidRPr="00833114">
        <w:rPr>
          <w:rFonts w:ascii="Times New Roman" w:hAnsi="Times New Roman" w:cs="Times New Roman"/>
        </w:rPr>
        <w:t xml:space="preserve">will be spent on whatever the party sees fit to spend it on as long as it directly improves public understanding of the ethical and safety threats that AI poses. Examples for funding may include </w:t>
      </w:r>
      <w:r w:rsidR="00743137" w:rsidRPr="00833114">
        <w:rPr>
          <w:rFonts w:ascii="Times New Roman" w:hAnsi="Times New Roman" w:cs="Times New Roman"/>
        </w:rPr>
        <w:t xml:space="preserve">but is not limited to the initiation of community classes, marketing campaigns, and more. </w:t>
      </w:r>
    </w:p>
    <w:p w14:paraId="1DFC13A5" w14:textId="77777777" w:rsidR="00C651F1" w:rsidRPr="00833114" w:rsidRDefault="00C651F1" w:rsidP="00657309">
      <w:pPr>
        <w:rPr>
          <w:rFonts w:ascii="Times New Roman" w:hAnsi="Times New Roman" w:cs="Times New Roman"/>
        </w:rPr>
      </w:pPr>
    </w:p>
    <w:p w14:paraId="6C1334B7" w14:textId="77777777" w:rsidR="00CF2673" w:rsidRPr="00833114" w:rsidRDefault="00CF2673" w:rsidP="00657309">
      <w:pPr>
        <w:rPr>
          <w:rFonts w:ascii="Times New Roman" w:hAnsi="Times New Roman" w:cs="Times New Roman"/>
        </w:rPr>
      </w:pPr>
    </w:p>
    <w:p w14:paraId="5C110DC9" w14:textId="5436D1F3" w:rsidR="00C651F1" w:rsidRPr="00E05321" w:rsidRDefault="00C651F1" w:rsidP="00657309">
      <w:pPr>
        <w:rPr>
          <w:rFonts w:ascii="Times New Roman" w:hAnsi="Times New Roman" w:cs="Times New Roman"/>
          <w:b/>
          <w:bCs/>
          <w:u w:val="single"/>
        </w:rPr>
      </w:pPr>
      <w:r w:rsidRPr="00E05321">
        <w:rPr>
          <w:rFonts w:ascii="Times New Roman" w:hAnsi="Times New Roman" w:cs="Times New Roman"/>
          <w:b/>
          <w:bCs/>
        </w:rPr>
        <w:t xml:space="preserve">Article </w:t>
      </w:r>
      <w:r w:rsidR="00E05321" w:rsidRPr="00E05321">
        <w:rPr>
          <w:rFonts w:ascii="Times New Roman" w:hAnsi="Times New Roman" w:cs="Times New Roman"/>
          <w:b/>
          <w:bCs/>
        </w:rPr>
        <w:t>XII</w:t>
      </w:r>
    </w:p>
    <w:p w14:paraId="69EC9230" w14:textId="49680896" w:rsidR="00D16AFE" w:rsidRPr="00833114" w:rsidRDefault="00D16AFE" w:rsidP="00657309">
      <w:pPr>
        <w:rPr>
          <w:rFonts w:ascii="Times New Roman" w:hAnsi="Times New Roman" w:cs="Times New Roman"/>
        </w:rPr>
      </w:pPr>
    </w:p>
    <w:p w14:paraId="33B1265C" w14:textId="3FD2F295" w:rsidR="00D16AFE" w:rsidRPr="00833114" w:rsidRDefault="0036702B" w:rsidP="0093409C">
      <w:pPr>
        <w:pStyle w:val="ListParagraph"/>
        <w:numPr>
          <w:ilvl w:val="0"/>
          <w:numId w:val="16"/>
        </w:numPr>
        <w:rPr>
          <w:rFonts w:ascii="Times New Roman" w:hAnsi="Times New Roman" w:cs="Times New Roman"/>
        </w:rPr>
      </w:pPr>
      <w:r w:rsidRPr="00833114">
        <w:rPr>
          <w:rFonts w:ascii="Times New Roman" w:hAnsi="Times New Roman" w:cs="Times New Roman"/>
        </w:rPr>
        <w:t xml:space="preserve">All Parties to the Treaty may propose amendments to this treaty at any time. The addition of said amendment is contingent </w:t>
      </w:r>
      <w:r w:rsidR="00A50437" w:rsidRPr="00833114">
        <w:rPr>
          <w:rFonts w:ascii="Times New Roman" w:hAnsi="Times New Roman" w:cs="Times New Roman"/>
        </w:rPr>
        <w:t xml:space="preserve">on </w:t>
      </w:r>
      <w:r w:rsidR="00F0798A" w:rsidRPr="00833114">
        <w:rPr>
          <w:rFonts w:ascii="Times New Roman" w:hAnsi="Times New Roman" w:cs="Times New Roman"/>
        </w:rPr>
        <w:t xml:space="preserve">a majority vote from </w:t>
      </w:r>
      <w:r w:rsidR="00500743">
        <w:rPr>
          <w:rFonts w:ascii="Times New Roman" w:hAnsi="Times New Roman" w:cs="Times New Roman"/>
        </w:rPr>
        <w:t xml:space="preserve">all </w:t>
      </w:r>
      <w:r w:rsidR="00F0798A" w:rsidRPr="00833114">
        <w:rPr>
          <w:rFonts w:ascii="Times New Roman" w:hAnsi="Times New Roman" w:cs="Times New Roman"/>
        </w:rPr>
        <w:t xml:space="preserve">parties involved. </w:t>
      </w:r>
    </w:p>
    <w:p w14:paraId="0D58B293" w14:textId="77777777" w:rsidR="0036702B" w:rsidRPr="00833114" w:rsidRDefault="0036702B" w:rsidP="0036702B">
      <w:pPr>
        <w:rPr>
          <w:rFonts w:ascii="Times New Roman" w:hAnsi="Times New Roman" w:cs="Times New Roman"/>
        </w:rPr>
      </w:pPr>
    </w:p>
    <w:p w14:paraId="716FD52F" w14:textId="73FA8FBE" w:rsidR="0093409C" w:rsidRPr="00833114" w:rsidRDefault="00F0798A" w:rsidP="0093409C">
      <w:pPr>
        <w:pStyle w:val="ListParagraph"/>
        <w:numPr>
          <w:ilvl w:val="0"/>
          <w:numId w:val="16"/>
        </w:numPr>
        <w:rPr>
          <w:rFonts w:ascii="Times New Roman" w:hAnsi="Times New Roman" w:cs="Times New Roman"/>
        </w:rPr>
      </w:pPr>
      <w:r w:rsidRPr="00833114">
        <w:rPr>
          <w:rFonts w:ascii="Times New Roman" w:hAnsi="Times New Roman" w:cs="Times New Roman"/>
        </w:rPr>
        <w:t xml:space="preserve">Any Party to the Treaty may withdraw from the treaty. Withdrawal must be notified to the </w:t>
      </w:r>
      <w:r w:rsidR="00CF08CC" w:rsidRPr="00833114">
        <w:rPr>
          <w:rFonts w:ascii="Times New Roman" w:hAnsi="Times New Roman" w:cs="Times New Roman"/>
        </w:rPr>
        <w:t xml:space="preserve">compliance board at least 3 months in advance, and compliance to the treaty is still expected for 1 year after withdrawal. </w:t>
      </w:r>
    </w:p>
    <w:p w14:paraId="08A06705" w14:textId="77777777" w:rsidR="00F0798A" w:rsidRPr="00833114" w:rsidRDefault="00F0798A" w:rsidP="007E3128">
      <w:pPr>
        <w:rPr>
          <w:rFonts w:ascii="Times New Roman" w:hAnsi="Times New Roman" w:cs="Times New Roman"/>
        </w:rPr>
      </w:pPr>
    </w:p>
    <w:p w14:paraId="089109DF" w14:textId="40BC4130" w:rsidR="00F07CB0" w:rsidRPr="00833114" w:rsidRDefault="00F07CB0" w:rsidP="0093409C">
      <w:pPr>
        <w:pStyle w:val="ListParagraph"/>
        <w:numPr>
          <w:ilvl w:val="0"/>
          <w:numId w:val="16"/>
        </w:numPr>
        <w:rPr>
          <w:rFonts w:ascii="Times New Roman" w:hAnsi="Times New Roman" w:cs="Times New Roman"/>
        </w:rPr>
      </w:pPr>
      <w:r w:rsidRPr="00833114">
        <w:rPr>
          <w:rFonts w:ascii="Times New Roman" w:hAnsi="Times New Roman" w:cs="Times New Roman"/>
        </w:rPr>
        <w:t xml:space="preserve">Every year a conference will be held in-person in </w:t>
      </w:r>
      <w:r w:rsidR="00511B2E" w:rsidRPr="00833114">
        <w:rPr>
          <w:rFonts w:ascii="Times New Roman" w:hAnsi="Times New Roman" w:cs="Times New Roman"/>
        </w:rPr>
        <w:t xml:space="preserve">Canberra, </w:t>
      </w:r>
      <w:r w:rsidRPr="00833114">
        <w:rPr>
          <w:rFonts w:ascii="Times New Roman" w:hAnsi="Times New Roman" w:cs="Times New Roman"/>
        </w:rPr>
        <w:t>Australia</w:t>
      </w:r>
      <w:r w:rsidR="00511B2E" w:rsidRPr="00833114">
        <w:rPr>
          <w:rFonts w:ascii="Times New Roman" w:hAnsi="Times New Roman" w:cs="Times New Roman"/>
        </w:rPr>
        <w:t xml:space="preserve"> </w:t>
      </w:r>
      <w:r w:rsidR="009A129D">
        <w:rPr>
          <w:rFonts w:ascii="Times New Roman" w:hAnsi="Times New Roman" w:cs="Times New Roman"/>
        </w:rPr>
        <w:t xml:space="preserve">for the </w:t>
      </w:r>
      <w:r w:rsidRPr="00833114">
        <w:rPr>
          <w:rFonts w:ascii="Times New Roman" w:hAnsi="Times New Roman" w:cs="Times New Roman"/>
        </w:rPr>
        <w:t>discuss</w:t>
      </w:r>
      <w:r w:rsidR="009A129D">
        <w:rPr>
          <w:rFonts w:ascii="Times New Roman" w:hAnsi="Times New Roman" w:cs="Times New Roman"/>
        </w:rPr>
        <w:t>ion of</w:t>
      </w:r>
      <w:r w:rsidRPr="00833114">
        <w:rPr>
          <w:rFonts w:ascii="Times New Roman" w:hAnsi="Times New Roman" w:cs="Times New Roman"/>
        </w:rPr>
        <w:t xml:space="preserve"> the progression of AI safety standards. </w:t>
      </w:r>
      <w:r w:rsidR="00D1403F" w:rsidRPr="00833114">
        <w:rPr>
          <w:rFonts w:ascii="Times New Roman" w:hAnsi="Times New Roman" w:cs="Times New Roman"/>
        </w:rPr>
        <w:t xml:space="preserve">The moratorium outlined by this treaty is to be </w:t>
      </w:r>
      <w:r w:rsidR="002604D4" w:rsidRPr="00833114">
        <w:rPr>
          <w:rFonts w:ascii="Times New Roman" w:hAnsi="Times New Roman" w:cs="Times New Roman"/>
        </w:rPr>
        <w:t>upheld for at least 5 years, after of which a grand conference will be held in order to determine the state of AI safety and the</w:t>
      </w:r>
      <w:r w:rsidR="00511B2E" w:rsidRPr="00833114">
        <w:rPr>
          <w:rFonts w:ascii="Times New Roman" w:hAnsi="Times New Roman" w:cs="Times New Roman"/>
        </w:rPr>
        <w:t xml:space="preserve"> continued</w:t>
      </w:r>
      <w:r w:rsidR="002604D4" w:rsidRPr="00833114">
        <w:rPr>
          <w:rFonts w:ascii="Times New Roman" w:hAnsi="Times New Roman" w:cs="Times New Roman"/>
        </w:rPr>
        <w:t xml:space="preserve"> </w:t>
      </w:r>
      <w:r w:rsidR="00AA49A8" w:rsidRPr="00833114">
        <w:rPr>
          <w:rFonts w:ascii="Times New Roman" w:hAnsi="Times New Roman" w:cs="Times New Roman"/>
        </w:rPr>
        <w:t>relevanc</w:t>
      </w:r>
      <w:r w:rsidR="00511B2E" w:rsidRPr="00833114">
        <w:rPr>
          <w:rFonts w:ascii="Times New Roman" w:hAnsi="Times New Roman" w:cs="Times New Roman"/>
        </w:rPr>
        <w:t>y</w:t>
      </w:r>
      <w:r w:rsidR="00AA49A8" w:rsidRPr="00833114">
        <w:rPr>
          <w:rFonts w:ascii="Times New Roman" w:hAnsi="Times New Roman" w:cs="Times New Roman"/>
        </w:rPr>
        <w:t xml:space="preserve"> of the treaty</w:t>
      </w:r>
      <w:r w:rsidR="00511B2E" w:rsidRPr="00833114">
        <w:rPr>
          <w:rFonts w:ascii="Times New Roman" w:hAnsi="Times New Roman" w:cs="Times New Roman"/>
        </w:rPr>
        <w:t>.</w:t>
      </w:r>
    </w:p>
    <w:p w14:paraId="1C362BB6" w14:textId="77777777" w:rsidR="00511B2E" w:rsidRPr="00833114" w:rsidRDefault="00511B2E" w:rsidP="00511B2E">
      <w:pPr>
        <w:pStyle w:val="ListParagraph"/>
        <w:rPr>
          <w:rFonts w:ascii="Times New Roman" w:hAnsi="Times New Roman" w:cs="Times New Roman"/>
        </w:rPr>
      </w:pPr>
    </w:p>
    <w:p w14:paraId="42CF0D18" w14:textId="128ECB85" w:rsidR="00511B2E" w:rsidRPr="00833114" w:rsidRDefault="00511B2E" w:rsidP="00511B2E">
      <w:pPr>
        <w:pStyle w:val="ListParagraph"/>
        <w:numPr>
          <w:ilvl w:val="1"/>
          <w:numId w:val="16"/>
        </w:numPr>
        <w:rPr>
          <w:rFonts w:ascii="Times New Roman" w:hAnsi="Times New Roman" w:cs="Times New Roman"/>
        </w:rPr>
      </w:pPr>
      <w:r w:rsidRPr="00833114">
        <w:rPr>
          <w:rFonts w:ascii="Times New Roman" w:hAnsi="Times New Roman" w:cs="Times New Roman"/>
        </w:rPr>
        <w:t>After 5 years, if it is determined that this treaty is still necessary</w:t>
      </w:r>
      <w:r w:rsidR="00DC514B" w:rsidRPr="00833114">
        <w:rPr>
          <w:rFonts w:ascii="Times New Roman" w:hAnsi="Times New Roman" w:cs="Times New Roman"/>
        </w:rPr>
        <w:t xml:space="preserve"> (by a majority vote from Parties to the Treaty)</w:t>
      </w:r>
      <w:r w:rsidRPr="00833114">
        <w:rPr>
          <w:rFonts w:ascii="Times New Roman" w:hAnsi="Times New Roman" w:cs="Times New Roman"/>
        </w:rPr>
        <w:t xml:space="preserve"> in order to prevent the proliferation of harmful AI applications, then a decision regarding the upholding of this treaty is to occur every one year </w:t>
      </w:r>
      <w:r w:rsidR="00107922" w:rsidRPr="00833114">
        <w:rPr>
          <w:rFonts w:ascii="Times New Roman" w:hAnsi="Times New Roman" w:cs="Times New Roman"/>
        </w:rPr>
        <w:t>after that at the Canberra conference.</w:t>
      </w:r>
    </w:p>
    <w:p w14:paraId="38B362A1" w14:textId="11EC410A" w:rsidR="00107922" w:rsidRPr="00833114" w:rsidRDefault="00107922" w:rsidP="00107922">
      <w:pPr>
        <w:pStyle w:val="ListParagraph"/>
        <w:ind w:left="1440"/>
        <w:rPr>
          <w:rFonts w:ascii="Times New Roman" w:hAnsi="Times New Roman" w:cs="Times New Roman"/>
        </w:rPr>
      </w:pPr>
    </w:p>
    <w:p w14:paraId="43EC821C" w14:textId="23EC1189" w:rsidR="00DE4B1C" w:rsidRPr="00833114" w:rsidRDefault="003F6CB7" w:rsidP="00DE4B1C">
      <w:pPr>
        <w:pStyle w:val="ListParagraph"/>
        <w:numPr>
          <w:ilvl w:val="1"/>
          <w:numId w:val="16"/>
        </w:numPr>
        <w:rPr>
          <w:rFonts w:ascii="Times New Roman" w:hAnsi="Times New Roman" w:cs="Times New Roman"/>
        </w:rPr>
      </w:pPr>
      <w:r w:rsidRPr="00833114">
        <w:rPr>
          <w:rFonts w:ascii="Times New Roman" w:hAnsi="Times New Roman" w:cs="Times New Roman"/>
        </w:rPr>
        <w:t>After 5 years, if it is determined that this treaty is no longer necessary</w:t>
      </w:r>
      <w:r w:rsidR="00F7001B" w:rsidRPr="00833114">
        <w:rPr>
          <w:rFonts w:ascii="Times New Roman" w:hAnsi="Times New Roman" w:cs="Times New Roman"/>
        </w:rPr>
        <w:t xml:space="preserve"> </w:t>
      </w:r>
      <w:r w:rsidR="00DE4B1C" w:rsidRPr="00833114">
        <w:rPr>
          <w:rFonts w:ascii="Times New Roman" w:hAnsi="Times New Roman" w:cs="Times New Roman"/>
        </w:rPr>
        <w:t xml:space="preserve">(by a majority vote from Parties to the Treaty) </w:t>
      </w:r>
      <w:r w:rsidR="00F7001B" w:rsidRPr="00833114">
        <w:rPr>
          <w:rFonts w:ascii="Times New Roman" w:hAnsi="Times New Roman" w:cs="Times New Roman"/>
        </w:rPr>
        <w:t>at the grand conference</w:t>
      </w:r>
      <w:r w:rsidR="00CF6272" w:rsidRPr="00833114">
        <w:rPr>
          <w:rFonts w:ascii="Times New Roman" w:hAnsi="Times New Roman" w:cs="Times New Roman"/>
        </w:rPr>
        <w:t xml:space="preserve"> in Canberra</w:t>
      </w:r>
      <w:r w:rsidRPr="00833114">
        <w:rPr>
          <w:rFonts w:ascii="Times New Roman" w:hAnsi="Times New Roman" w:cs="Times New Roman"/>
        </w:rPr>
        <w:t xml:space="preserve">, then </w:t>
      </w:r>
      <w:r w:rsidR="00F7001B" w:rsidRPr="00833114">
        <w:rPr>
          <w:rFonts w:ascii="Times New Roman" w:hAnsi="Times New Roman" w:cs="Times New Roman"/>
        </w:rPr>
        <w:t xml:space="preserve">this treaty </w:t>
      </w:r>
      <w:r w:rsidR="00DE4B1C" w:rsidRPr="00833114">
        <w:rPr>
          <w:rFonts w:ascii="Times New Roman" w:hAnsi="Times New Roman" w:cs="Times New Roman"/>
        </w:rPr>
        <w:t>is no longer in effect.</w:t>
      </w:r>
      <w:r w:rsidR="00CF6272" w:rsidRPr="00833114">
        <w:rPr>
          <w:rFonts w:ascii="Times New Roman" w:hAnsi="Times New Roman" w:cs="Times New Roman"/>
        </w:rPr>
        <w:t xml:space="preserve"> </w:t>
      </w:r>
    </w:p>
    <w:p w14:paraId="086851B1" w14:textId="77777777" w:rsidR="00107922" w:rsidRDefault="00107922" w:rsidP="00107922"/>
    <w:p w14:paraId="21716388" w14:textId="77777777" w:rsidR="00833114" w:rsidRDefault="00833114" w:rsidP="00107922"/>
    <w:p w14:paraId="3C42627B" w14:textId="25C632EE" w:rsidR="00414830" w:rsidRDefault="00007322" w:rsidP="00063ACA">
      <w:pPr>
        <w:ind w:firstLine="720"/>
      </w:pPr>
      <w:r>
        <w:t xml:space="preserve"> </w:t>
      </w:r>
    </w:p>
    <w:p w14:paraId="13E82E1F" w14:textId="77777777" w:rsidR="00FE35A8" w:rsidRDefault="00FE35A8" w:rsidP="00063ACA">
      <w:pPr>
        <w:ind w:firstLine="720"/>
      </w:pPr>
    </w:p>
    <w:p w14:paraId="62D642AA" w14:textId="77777777" w:rsidR="00FE35A8" w:rsidRDefault="00FE35A8" w:rsidP="00063ACA">
      <w:pPr>
        <w:ind w:firstLine="720"/>
      </w:pPr>
    </w:p>
    <w:p w14:paraId="313B8266" w14:textId="77777777" w:rsidR="00FE35A8" w:rsidRDefault="00FE35A8" w:rsidP="00063ACA">
      <w:pPr>
        <w:ind w:firstLine="720"/>
      </w:pPr>
    </w:p>
    <w:p w14:paraId="353239DB" w14:textId="77777777" w:rsidR="00FE35A8" w:rsidRDefault="00FE35A8" w:rsidP="00063ACA">
      <w:pPr>
        <w:ind w:firstLine="720"/>
      </w:pPr>
    </w:p>
    <w:p w14:paraId="224852D7" w14:textId="77777777" w:rsidR="00FE35A8" w:rsidRDefault="00FE35A8" w:rsidP="00063ACA">
      <w:pPr>
        <w:ind w:firstLine="720"/>
      </w:pPr>
    </w:p>
    <w:p w14:paraId="2529E9F7" w14:textId="77777777" w:rsidR="00FE35A8" w:rsidRDefault="00FE35A8" w:rsidP="00063ACA">
      <w:pPr>
        <w:ind w:firstLine="720"/>
      </w:pPr>
    </w:p>
    <w:p w14:paraId="6C5377B9" w14:textId="77777777" w:rsidR="007E2F5A" w:rsidRDefault="007E2F5A" w:rsidP="00063ACA">
      <w:pPr>
        <w:ind w:firstLine="720"/>
      </w:pPr>
    </w:p>
    <w:p w14:paraId="77B049AF" w14:textId="77777777" w:rsidR="007E2F5A" w:rsidRDefault="007E2F5A" w:rsidP="00063ACA">
      <w:pPr>
        <w:ind w:firstLine="720"/>
      </w:pPr>
    </w:p>
    <w:p w14:paraId="60CFCE3B" w14:textId="77777777" w:rsidR="007E2F5A" w:rsidRDefault="007E2F5A" w:rsidP="00063ACA">
      <w:pPr>
        <w:ind w:firstLine="720"/>
      </w:pPr>
    </w:p>
    <w:p w14:paraId="4D8E16CC" w14:textId="77777777" w:rsidR="007E2F5A" w:rsidRDefault="007E2F5A" w:rsidP="00063ACA">
      <w:pPr>
        <w:ind w:firstLine="720"/>
      </w:pPr>
    </w:p>
    <w:p w14:paraId="1EB51753" w14:textId="77777777" w:rsidR="007E2F5A" w:rsidRDefault="007E2F5A" w:rsidP="00063ACA">
      <w:pPr>
        <w:ind w:firstLine="720"/>
      </w:pPr>
    </w:p>
    <w:p w14:paraId="28ECF245" w14:textId="77777777" w:rsidR="007E2F5A" w:rsidRDefault="007E2F5A" w:rsidP="00063ACA">
      <w:pPr>
        <w:ind w:firstLine="720"/>
      </w:pPr>
    </w:p>
    <w:p w14:paraId="71BB2A14" w14:textId="77777777" w:rsidR="007074A3" w:rsidRDefault="007074A3" w:rsidP="00063ACA">
      <w:pPr>
        <w:ind w:firstLine="720"/>
      </w:pPr>
    </w:p>
    <w:p w14:paraId="1FE3C896" w14:textId="77777777" w:rsidR="007074A3" w:rsidRDefault="007074A3" w:rsidP="00063ACA">
      <w:pPr>
        <w:ind w:firstLine="720"/>
      </w:pPr>
    </w:p>
    <w:p w14:paraId="72F02261" w14:textId="08919E67" w:rsidR="007074A3" w:rsidRPr="003904CA" w:rsidRDefault="007074A3" w:rsidP="003904CA">
      <w:pPr>
        <w:rPr>
          <w:rFonts w:ascii="Times New Roman" w:hAnsi="Times New Roman" w:cs="Times New Roman"/>
          <w:u w:val="single"/>
        </w:rPr>
      </w:pPr>
      <w:r w:rsidRPr="003904CA">
        <w:rPr>
          <w:rFonts w:ascii="Times New Roman" w:hAnsi="Times New Roman" w:cs="Times New Roman"/>
          <w:u w:val="single"/>
        </w:rPr>
        <w:lastRenderedPageBreak/>
        <w:t xml:space="preserve">Works Cited: </w:t>
      </w:r>
    </w:p>
    <w:p w14:paraId="3DFDC415" w14:textId="77777777" w:rsidR="00FE35A8" w:rsidRDefault="00FE35A8" w:rsidP="00063ACA">
      <w:pPr>
        <w:ind w:firstLine="720"/>
      </w:pPr>
    </w:p>
    <w:p w14:paraId="37BF7595" w14:textId="0220C106" w:rsidR="006671E1" w:rsidRPr="003904CA" w:rsidRDefault="003742EF" w:rsidP="006671E1">
      <w:pPr>
        <w:pStyle w:val="NormalWeb"/>
        <w:numPr>
          <w:ilvl w:val="0"/>
          <w:numId w:val="32"/>
        </w:numPr>
        <w:ind w:hanging="720"/>
      </w:pPr>
      <w:r w:rsidRPr="003904CA">
        <w:t xml:space="preserve">Ayling, Jacqui, and Adriane Chapman. “Putting AI Ethics to Work: Are the Tools Fit for Purpose?” </w:t>
      </w:r>
      <w:r w:rsidRPr="003904CA">
        <w:rPr>
          <w:i/>
          <w:iCs/>
        </w:rPr>
        <w:t>AI and Ethics</w:t>
      </w:r>
      <w:r w:rsidRPr="003904CA">
        <w:t xml:space="preserve">, vol. 2, no. 3, 12 Sept. 2021, pp. 405–429, https://doi.org/10.1007/s43681-021-00084-x. </w:t>
      </w:r>
    </w:p>
    <w:p w14:paraId="4853AA52" w14:textId="77777777" w:rsidR="003742EF" w:rsidRPr="003904CA" w:rsidRDefault="003742EF" w:rsidP="00D007EC">
      <w:pPr>
        <w:pStyle w:val="NormalWeb"/>
        <w:numPr>
          <w:ilvl w:val="0"/>
          <w:numId w:val="32"/>
        </w:numPr>
        <w:ind w:hanging="720"/>
      </w:pPr>
      <w:r w:rsidRPr="003904CA">
        <w:t xml:space="preserve">Coeckelbergh, Mark. </w:t>
      </w:r>
      <w:r w:rsidRPr="003904CA">
        <w:rPr>
          <w:i/>
          <w:iCs/>
        </w:rPr>
        <w:t>Ai Ethics</w:t>
      </w:r>
      <w:r w:rsidRPr="003904CA">
        <w:t xml:space="preserve">. The MIT Press, 2020. </w:t>
      </w:r>
    </w:p>
    <w:p w14:paraId="4CB9DBF6" w14:textId="77777777" w:rsidR="003742EF" w:rsidRPr="003904CA" w:rsidRDefault="003742EF" w:rsidP="00D007EC">
      <w:pPr>
        <w:pStyle w:val="NormalWeb"/>
        <w:numPr>
          <w:ilvl w:val="0"/>
          <w:numId w:val="32"/>
        </w:numPr>
        <w:ind w:hanging="720"/>
      </w:pPr>
      <w:r w:rsidRPr="003904CA">
        <w:t xml:space="preserve">Darrell M. West, John R. Allen, et al. “Soft Law as a Complement to AI Regulation.” </w:t>
      </w:r>
      <w:r w:rsidRPr="003904CA">
        <w:rPr>
          <w:i/>
          <w:iCs/>
        </w:rPr>
        <w:t>Brookings</w:t>
      </w:r>
      <w:r w:rsidRPr="003904CA">
        <w:t xml:space="preserve">, 9 Mar. 2022, www.brookings.edu/articles/soft-law-as-a-complement-to-ai-regulation/. </w:t>
      </w:r>
    </w:p>
    <w:p w14:paraId="113853D9" w14:textId="77777777" w:rsidR="003742EF" w:rsidRPr="003904CA" w:rsidRDefault="003742EF" w:rsidP="00D007EC">
      <w:pPr>
        <w:pStyle w:val="NormalWeb"/>
        <w:numPr>
          <w:ilvl w:val="0"/>
          <w:numId w:val="32"/>
        </w:numPr>
        <w:ind w:hanging="720"/>
      </w:pPr>
      <w:r w:rsidRPr="003904CA">
        <w:t xml:space="preserve">Fortner, Robert S. </w:t>
      </w:r>
      <w:r w:rsidRPr="003904CA">
        <w:rPr>
          <w:i/>
          <w:iCs/>
        </w:rPr>
        <w:t>Ethics in the Digital Domain</w:t>
      </w:r>
      <w:r w:rsidRPr="003904CA">
        <w:t xml:space="preserve">. Rowman &amp; Littlefield, 2021. </w:t>
      </w:r>
    </w:p>
    <w:p w14:paraId="38F55964" w14:textId="77777777" w:rsidR="003742EF" w:rsidRPr="003904CA" w:rsidRDefault="003742EF" w:rsidP="00D007EC">
      <w:pPr>
        <w:pStyle w:val="NormalWeb"/>
        <w:numPr>
          <w:ilvl w:val="0"/>
          <w:numId w:val="32"/>
        </w:numPr>
        <w:ind w:hanging="720"/>
      </w:pPr>
      <w:r w:rsidRPr="003904CA">
        <w:t xml:space="preserve">“Home.” </w:t>
      </w:r>
      <w:r w:rsidRPr="003904CA">
        <w:rPr>
          <w:i/>
          <w:iCs/>
        </w:rPr>
        <w:t>The Artificial Intelligence Act</w:t>
      </w:r>
      <w:r w:rsidRPr="003904CA">
        <w:t xml:space="preserve">, 3 Apr. 2023, artificialintelligenceact.eu/. </w:t>
      </w:r>
    </w:p>
    <w:p w14:paraId="37731597" w14:textId="77777777" w:rsidR="003742EF" w:rsidRPr="003904CA" w:rsidRDefault="003742EF" w:rsidP="00D007EC">
      <w:pPr>
        <w:pStyle w:val="NormalWeb"/>
        <w:numPr>
          <w:ilvl w:val="0"/>
          <w:numId w:val="32"/>
        </w:numPr>
        <w:ind w:hanging="720"/>
      </w:pPr>
      <w:r w:rsidRPr="003904CA">
        <w:t xml:space="preserve">Jobin, Anna, et al. “The Global Landscape of AI Ethics Guidelines.” </w:t>
      </w:r>
      <w:r w:rsidRPr="003904CA">
        <w:rPr>
          <w:i/>
          <w:iCs/>
        </w:rPr>
        <w:t>Nature Machine Intelligence</w:t>
      </w:r>
      <w:r w:rsidRPr="003904CA">
        <w:t xml:space="preserve">, vol. 1, no. 9, 2 Sept. 2019, pp. 389–399, https://doi.org/10.1038/s42256-019-0088-2. </w:t>
      </w:r>
    </w:p>
    <w:p w14:paraId="5510078A" w14:textId="77777777" w:rsidR="003742EF" w:rsidRPr="003904CA" w:rsidRDefault="003742EF" w:rsidP="00D007EC">
      <w:pPr>
        <w:pStyle w:val="NormalWeb"/>
        <w:numPr>
          <w:ilvl w:val="0"/>
          <w:numId w:val="32"/>
        </w:numPr>
        <w:ind w:hanging="720"/>
      </w:pPr>
      <w:r w:rsidRPr="003904CA">
        <w:t xml:space="preserve">LeaderGPU. “GPU Farm.” </w:t>
      </w:r>
      <w:r w:rsidRPr="003904CA">
        <w:rPr>
          <w:i/>
          <w:iCs/>
        </w:rPr>
        <w:t>LeaderGPU</w:t>
      </w:r>
      <w:r w:rsidRPr="003904CA">
        <w:t xml:space="preserve">, 25 Dec. 2019, www.leadergpu.com/gpu_farm. </w:t>
      </w:r>
    </w:p>
    <w:p w14:paraId="62FE101F" w14:textId="77777777" w:rsidR="003742EF" w:rsidRPr="003904CA" w:rsidRDefault="003742EF" w:rsidP="00D007EC">
      <w:pPr>
        <w:pStyle w:val="NormalWeb"/>
        <w:numPr>
          <w:ilvl w:val="0"/>
          <w:numId w:val="32"/>
        </w:numPr>
        <w:ind w:hanging="720"/>
      </w:pPr>
      <w:r w:rsidRPr="003904CA">
        <w:t xml:space="preserve">Marr, Bernard. “The 15 Biggest Risks of Artificial Intelligence.” </w:t>
      </w:r>
      <w:r w:rsidRPr="003904CA">
        <w:rPr>
          <w:i/>
          <w:iCs/>
        </w:rPr>
        <w:t>Forbes</w:t>
      </w:r>
      <w:r w:rsidRPr="003904CA">
        <w:t xml:space="preserve">, 5 June 2023, www.forbes.com/sites/bernardmarr/2023/06/02/the-15-biggest-risks-of-artificial-intelligence/?sh=49b275c52706. </w:t>
      </w:r>
    </w:p>
    <w:p w14:paraId="47BD710B" w14:textId="1A4DEA95" w:rsidR="003742EF" w:rsidRPr="003904CA" w:rsidRDefault="003742EF" w:rsidP="00D007EC">
      <w:pPr>
        <w:pStyle w:val="NormalWeb"/>
        <w:numPr>
          <w:ilvl w:val="0"/>
          <w:numId w:val="32"/>
        </w:numPr>
        <w:ind w:hanging="720"/>
      </w:pPr>
      <w:r w:rsidRPr="003904CA">
        <w:t xml:space="preserve">Morley, Jessica, Anat Elhalal, et al. “Ethics as a Service: A Pragmatic </w:t>
      </w:r>
      <w:r w:rsidR="00200BC8" w:rsidRPr="003904CA">
        <w:t>Operationalization</w:t>
      </w:r>
      <w:r w:rsidRPr="003904CA">
        <w:t xml:space="preserve"> of Ai Ethics.” </w:t>
      </w:r>
      <w:r w:rsidRPr="003904CA">
        <w:rPr>
          <w:i/>
          <w:iCs/>
        </w:rPr>
        <w:t>Minds and Machines</w:t>
      </w:r>
      <w:r w:rsidRPr="003904CA">
        <w:t xml:space="preserve">, vol. 31, no. 2, June 2021, pp. 239–256, https://doi.org/10.1007/s11023-021-09563-w. </w:t>
      </w:r>
    </w:p>
    <w:p w14:paraId="49A68F88" w14:textId="6C8014DC" w:rsidR="003742EF" w:rsidRPr="003904CA" w:rsidRDefault="003742EF" w:rsidP="00D007EC">
      <w:pPr>
        <w:pStyle w:val="NormalWeb"/>
        <w:numPr>
          <w:ilvl w:val="0"/>
          <w:numId w:val="32"/>
        </w:numPr>
        <w:ind w:hanging="720"/>
      </w:pPr>
      <w:r w:rsidRPr="003904CA">
        <w:t>Morley, Jessica, Libby Kinsey, et al. “</w:t>
      </w:r>
      <w:r w:rsidR="00200BC8" w:rsidRPr="003904CA">
        <w:t>Operationalizing</w:t>
      </w:r>
      <w:r w:rsidRPr="003904CA">
        <w:t xml:space="preserve"> Ai Ethics: Barriers, Enablers and next Steps.” </w:t>
      </w:r>
      <w:r w:rsidRPr="003904CA">
        <w:rPr>
          <w:i/>
          <w:iCs/>
        </w:rPr>
        <w:t>AI &amp;amp; SOCIETY</w:t>
      </w:r>
      <w:r w:rsidRPr="003904CA">
        <w:t xml:space="preserve">, vol. 38, no. 1, 15 Nov. 2021, pp. 411–423, https://doi.org/10.1007/s00146-021-01308-8. </w:t>
      </w:r>
    </w:p>
    <w:p w14:paraId="15DD3AC3" w14:textId="77777777" w:rsidR="003742EF" w:rsidRPr="003904CA" w:rsidRDefault="003742EF" w:rsidP="00D007EC">
      <w:pPr>
        <w:pStyle w:val="NormalWeb"/>
        <w:numPr>
          <w:ilvl w:val="0"/>
          <w:numId w:val="32"/>
        </w:numPr>
        <w:ind w:hanging="720"/>
      </w:pPr>
      <w:r w:rsidRPr="003904CA">
        <w:t xml:space="preserve">Nyuytiymbiy, Kizito. “Parameters and Hyperparameters in Machine Learning and Deep Learning.” </w:t>
      </w:r>
      <w:r w:rsidRPr="003904CA">
        <w:rPr>
          <w:i/>
          <w:iCs/>
        </w:rPr>
        <w:t>Medium</w:t>
      </w:r>
      <w:r w:rsidRPr="003904CA">
        <w:t xml:space="preserve">, 28 Mar. 2022, towardsdatascience.com/parameters-and-hyperparameters-aa609601a9ac. </w:t>
      </w:r>
    </w:p>
    <w:p w14:paraId="632402F6" w14:textId="49EC1360" w:rsidR="003742EF" w:rsidRPr="003904CA" w:rsidRDefault="003742EF" w:rsidP="00D007EC">
      <w:pPr>
        <w:pStyle w:val="NormalWeb"/>
        <w:numPr>
          <w:ilvl w:val="0"/>
          <w:numId w:val="32"/>
        </w:numPr>
        <w:ind w:hanging="720"/>
      </w:pPr>
      <w:r w:rsidRPr="003904CA">
        <w:t xml:space="preserve">“Supported Reference </w:t>
      </w:r>
      <w:r w:rsidR="00200BC8" w:rsidRPr="003904CA">
        <w:t xml:space="preserve">Models </w:t>
      </w:r>
      <w:r w:rsidR="006C02A7" w:rsidRPr="003904CA">
        <w:t>| Cloud</w:t>
      </w:r>
      <w:r w:rsidRPr="003904CA">
        <w:t xml:space="preserve"> </w:t>
      </w:r>
      <w:r w:rsidR="006C02A7" w:rsidRPr="003904CA">
        <w:t>TPU |</w:t>
      </w:r>
      <w:r w:rsidRPr="003904CA">
        <w:t xml:space="preserve">  Google Cloud.” </w:t>
      </w:r>
      <w:r w:rsidRPr="003904CA">
        <w:rPr>
          <w:i/>
          <w:iCs/>
        </w:rPr>
        <w:t>Google</w:t>
      </w:r>
      <w:r w:rsidRPr="003904CA">
        <w:t xml:space="preserve">, cloud.google.com/tpu/docs/tutorials/supported-models. Accessed 16 July 2023. </w:t>
      </w:r>
    </w:p>
    <w:p w14:paraId="77927314" w14:textId="77777777" w:rsidR="003742EF" w:rsidRPr="003904CA" w:rsidRDefault="003742EF" w:rsidP="00D007EC">
      <w:pPr>
        <w:pStyle w:val="NormalWeb"/>
        <w:numPr>
          <w:ilvl w:val="0"/>
          <w:numId w:val="32"/>
        </w:numPr>
        <w:ind w:hanging="720"/>
      </w:pPr>
      <w:r w:rsidRPr="003904CA">
        <w:t xml:space="preserve">ÓhÉigeartaigh, Seán S., et al. “Overcoming Barriers to Cross-Cultural Cooperation in AI Ethics and Governance.” </w:t>
      </w:r>
      <w:r w:rsidRPr="003904CA">
        <w:rPr>
          <w:i/>
          <w:iCs/>
        </w:rPr>
        <w:t>Philosophy &amp;amp; Technology</w:t>
      </w:r>
      <w:r w:rsidRPr="003904CA">
        <w:t xml:space="preserve">, vol. 33, no. 4, 15 May 2020, pp. 571–593, https://doi.org/10.1007/s13347-020-00402-x. </w:t>
      </w:r>
    </w:p>
    <w:p w14:paraId="2C2D2BED" w14:textId="77777777" w:rsidR="003742EF" w:rsidRPr="003904CA" w:rsidRDefault="003742EF" w:rsidP="00D007EC">
      <w:pPr>
        <w:ind w:hanging="720"/>
      </w:pPr>
    </w:p>
    <w:sectPr w:rsidR="003742EF" w:rsidRPr="00390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049BB"/>
    <w:multiLevelType w:val="hybridMultilevel"/>
    <w:tmpl w:val="52A60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43825"/>
    <w:multiLevelType w:val="hybridMultilevel"/>
    <w:tmpl w:val="A2ECE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BA1CAD"/>
    <w:multiLevelType w:val="hybridMultilevel"/>
    <w:tmpl w:val="B144F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0A01DF"/>
    <w:multiLevelType w:val="hybridMultilevel"/>
    <w:tmpl w:val="1556DCEA"/>
    <w:lvl w:ilvl="0" w:tplc="7110FE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CE47E7A"/>
    <w:multiLevelType w:val="hybridMultilevel"/>
    <w:tmpl w:val="CCEAAC02"/>
    <w:lvl w:ilvl="0" w:tplc="29948B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2D2815"/>
    <w:multiLevelType w:val="hybridMultilevel"/>
    <w:tmpl w:val="0D1C5D5E"/>
    <w:lvl w:ilvl="0" w:tplc="A7EECC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34066C"/>
    <w:multiLevelType w:val="hybridMultilevel"/>
    <w:tmpl w:val="E0D4AA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5C7190"/>
    <w:multiLevelType w:val="hybridMultilevel"/>
    <w:tmpl w:val="CCB6E4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22E413E"/>
    <w:multiLevelType w:val="hybridMultilevel"/>
    <w:tmpl w:val="E5929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174676"/>
    <w:multiLevelType w:val="hybridMultilevel"/>
    <w:tmpl w:val="75D26934"/>
    <w:lvl w:ilvl="0" w:tplc="8048D4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5722323"/>
    <w:multiLevelType w:val="hybridMultilevel"/>
    <w:tmpl w:val="588425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F76AD"/>
    <w:multiLevelType w:val="hybridMultilevel"/>
    <w:tmpl w:val="277C14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7A6612"/>
    <w:multiLevelType w:val="hybridMultilevel"/>
    <w:tmpl w:val="01D6B3A2"/>
    <w:lvl w:ilvl="0" w:tplc="A822CEA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22D79F5"/>
    <w:multiLevelType w:val="hybridMultilevel"/>
    <w:tmpl w:val="34C01E7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C64D3B"/>
    <w:multiLevelType w:val="hybridMultilevel"/>
    <w:tmpl w:val="8012BA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E86B94"/>
    <w:multiLevelType w:val="hybridMultilevel"/>
    <w:tmpl w:val="E752CD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390460"/>
    <w:multiLevelType w:val="hybridMultilevel"/>
    <w:tmpl w:val="60D8B2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3719D3"/>
    <w:multiLevelType w:val="hybridMultilevel"/>
    <w:tmpl w:val="77B02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05608C"/>
    <w:multiLevelType w:val="hybridMultilevel"/>
    <w:tmpl w:val="A37A0826"/>
    <w:lvl w:ilvl="0" w:tplc="4AD43B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27C2147"/>
    <w:multiLevelType w:val="hybridMultilevel"/>
    <w:tmpl w:val="47C0DC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0E0B5E"/>
    <w:multiLevelType w:val="hybridMultilevel"/>
    <w:tmpl w:val="D6BC8F8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9E6287A"/>
    <w:multiLevelType w:val="hybridMultilevel"/>
    <w:tmpl w:val="3D2AF4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4A6DFC"/>
    <w:multiLevelType w:val="hybridMultilevel"/>
    <w:tmpl w:val="B9128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3E5C36"/>
    <w:multiLevelType w:val="hybridMultilevel"/>
    <w:tmpl w:val="8FBEEA20"/>
    <w:lvl w:ilvl="0" w:tplc="488A5CE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F9E7F6F"/>
    <w:multiLevelType w:val="hybridMultilevel"/>
    <w:tmpl w:val="B9EC2D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473FF5"/>
    <w:multiLevelType w:val="hybridMultilevel"/>
    <w:tmpl w:val="A8462B36"/>
    <w:lvl w:ilvl="0" w:tplc="A700163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B91725C"/>
    <w:multiLevelType w:val="hybridMultilevel"/>
    <w:tmpl w:val="45E49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BC65648"/>
    <w:multiLevelType w:val="hybridMultilevel"/>
    <w:tmpl w:val="3FF04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3F3DEF"/>
    <w:multiLevelType w:val="hybridMultilevel"/>
    <w:tmpl w:val="B45831CC"/>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3154C70"/>
    <w:multiLevelType w:val="hybridMultilevel"/>
    <w:tmpl w:val="D5582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D7743E"/>
    <w:multiLevelType w:val="hybridMultilevel"/>
    <w:tmpl w:val="77FA4F98"/>
    <w:lvl w:ilvl="0" w:tplc="0409000F">
      <w:start w:val="1"/>
      <w:numFmt w:val="decimal"/>
      <w:lvlText w:val="%1."/>
      <w:lvlJc w:val="left"/>
      <w:pPr>
        <w:ind w:left="1448" w:hanging="360"/>
      </w:p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31" w15:restartNumberingAfterBreak="0">
    <w:nsid w:val="7B0531B6"/>
    <w:multiLevelType w:val="hybridMultilevel"/>
    <w:tmpl w:val="76341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204482">
    <w:abstractNumId w:val="30"/>
  </w:num>
  <w:num w:numId="2" w16cid:durableId="472328679">
    <w:abstractNumId w:val="16"/>
  </w:num>
  <w:num w:numId="3" w16cid:durableId="983461306">
    <w:abstractNumId w:val="1"/>
  </w:num>
  <w:num w:numId="4" w16cid:durableId="521166690">
    <w:abstractNumId w:val="6"/>
  </w:num>
  <w:num w:numId="5" w16cid:durableId="1884827230">
    <w:abstractNumId w:val="11"/>
  </w:num>
  <w:num w:numId="6" w16cid:durableId="1112941966">
    <w:abstractNumId w:val="8"/>
  </w:num>
  <w:num w:numId="7" w16cid:durableId="837306066">
    <w:abstractNumId w:val="17"/>
  </w:num>
  <w:num w:numId="8" w16cid:durableId="1075786599">
    <w:abstractNumId w:val="0"/>
  </w:num>
  <w:num w:numId="9" w16cid:durableId="1459490850">
    <w:abstractNumId w:val="13"/>
  </w:num>
  <w:num w:numId="10" w16cid:durableId="189998461">
    <w:abstractNumId w:val="24"/>
  </w:num>
  <w:num w:numId="11" w16cid:durableId="1634483531">
    <w:abstractNumId w:val="4"/>
  </w:num>
  <w:num w:numId="12" w16cid:durableId="1666977579">
    <w:abstractNumId w:val="21"/>
  </w:num>
  <w:num w:numId="13" w16cid:durableId="1701933731">
    <w:abstractNumId w:val="26"/>
  </w:num>
  <w:num w:numId="14" w16cid:durableId="1908607070">
    <w:abstractNumId w:val="31"/>
  </w:num>
  <w:num w:numId="15" w16cid:durableId="647982206">
    <w:abstractNumId w:val="29"/>
  </w:num>
  <w:num w:numId="16" w16cid:durableId="573583940">
    <w:abstractNumId w:val="19"/>
  </w:num>
  <w:num w:numId="17" w16cid:durableId="1303583769">
    <w:abstractNumId w:val="27"/>
  </w:num>
  <w:num w:numId="18" w16cid:durableId="1623146291">
    <w:abstractNumId w:val="14"/>
  </w:num>
  <w:num w:numId="19" w16cid:durableId="1909879650">
    <w:abstractNumId w:val="2"/>
  </w:num>
  <w:num w:numId="20" w16cid:durableId="1553424282">
    <w:abstractNumId w:val="22"/>
  </w:num>
  <w:num w:numId="21" w16cid:durableId="1033920829">
    <w:abstractNumId w:val="18"/>
  </w:num>
  <w:num w:numId="22" w16cid:durableId="382753753">
    <w:abstractNumId w:val="5"/>
  </w:num>
  <w:num w:numId="23" w16cid:durableId="1135413664">
    <w:abstractNumId w:val="15"/>
  </w:num>
  <w:num w:numId="24" w16cid:durableId="2066053977">
    <w:abstractNumId w:val="25"/>
  </w:num>
  <w:num w:numId="25" w16cid:durableId="518931879">
    <w:abstractNumId w:val="28"/>
  </w:num>
  <w:num w:numId="26" w16cid:durableId="1434478246">
    <w:abstractNumId w:val="3"/>
  </w:num>
  <w:num w:numId="27" w16cid:durableId="648364891">
    <w:abstractNumId w:val="7"/>
  </w:num>
  <w:num w:numId="28" w16cid:durableId="755253338">
    <w:abstractNumId w:val="20"/>
  </w:num>
  <w:num w:numId="29" w16cid:durableId="452594729">
    <w:abstractNumId w:val="23"/>
  </w:num>
  <w:num w:numId="30" w16cid:durableId="1597784450">
    <w:abstractNumId w:val="12"/>
  </w:num>
  <w:num w:numId="31" w16cid:durableId="530916094">
    <w:abstractNumId w:val="10"/>
  </w:num>
  <w:num w:numId="32" w16cid:durableId="18251238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FF3"/>
    <w:rsid w:val="0000488F"/>
    <w:rsid w:val="00007322"/>
    <w:rsid w:val="00016A87"/>
    <w:rsid w:val="00017039"/>
    <w:rsid w:val="00023FD6"/>
    <w:rsid w:val="00025507"/>
    <w:rsid w:val="000459A2"/>
    <w:rsid w:val="00046109"/>
    <w:rsid w:val="00053586"/>
    <w:rsid w:val="0005442B"/>
    <w:rsid w:val="00063ACA"/>
    <w:rsid w:val="000728F1"/>
    <w:rsid w:val="000736BE"/>
    <w:rsid w:val="0008487B"/>
    <w:rsid w:val="000A4839"/>
    <w:rsid w:val="000A591B"/>
    <w:rsid w:val="000E00B6"/>
    <w:rsid w:val="000E3855"/>
    <w:rsid w:val="000E3BB2"/>
    <w:rsid w:val="000E40FF"/>
    <w:rsid w:val="000E4BA3"/>
    <w:rsid w:val="00101D57"/>
    <w:rsid w:val="00107922"/>
    <w:rsid w:val="00111331"/>
    <w:rsid w:val="00115B91"/>
    <w:rsid w:val="00117B42"/>
    <w:rsid w:val="0012078F"/>
    <w:rsid w:val="00123DFA"/>
    <w:rsid w:val="001330CA"/>
    <w:rsid w:val="00136540"/>
    <w:rsid w:val="00144437"/>
    <w:rsid w:val="00161FF3"/>
    <w:rsid w:val="0017317A"/>
    <w:rsid w:val="00180BFC"/>
    <w:rsid w:val="00185A06"/>
    <w:rsid w:val="0019577C"/>
    <w:rsid w:val="001B140A"/>
    <w:rsid w:val="001C05D2"/>
    <w:rsid w:val="001C17A6"/>
    <w:rsid w:val="001C1E0B"/>
    <w:rsid w:val="001D7E4E"/>
    <w:rsid w:val="001E17CC"/>
    <w:rsid w:val="001E3F5B"/>
    <w:rsid w:val="001F0FB7"/>
    <w:rsid w:val="00200BC8"/>
    <w:rsid w:val="00222594"/>
    <w:rsid w:val="002255DD"/>
    <w:rsid w:val="00253FD5"/>
    <w:rsid w:val="002604D4"/>
    <w:rsid w:val="002606FD"/>
    <w:rsid w:val="00272597"/>
    <w:rsid w:val="00273F8F"/>
    <w:rsid w:val="00280DE4"/>
    <w:rsid w:val="002975D9"/>
    <w:rsid w:val="002A5ABF"/>
    <w:rsid w:val="002B1264"/>
    <w:rsid w:val="002F10C7"/>
    <w:rsid w:val="002F1AAB"/>
    <w:rsid w:val="002F1ED4"/>
    <w:rsid w:val="0030250F"/>
    <w:rsid w:val="0032206E"/>
    <w:rsid w:val="00323F71"/>
    <w:rsid w:val="003266AC"/>
    <w:rsid w:val="0032677B"/>
    <w:rsid w:val="00340AA1"/>
    <w:rsid w:val="00341CE5"/>
    <w:rsid w:val="00342CCC"/>
    <w:rsid w:val="00347D6F"/>
    <w:rsid w:val="003566D5"/>
    <w:rsid w:val="00363330"/>
    <w:rsid w:val="00364612"/>
    <w:rsid w:val="0036702B"/>
    <w:rsid w:val="00372FCE"/>
    <w:rsid w:val="003742EF"/>
    <w:rsid w:val="0037589A"/>
    <w:rsid w:val="00376548"/>
    <w:rsid w:val="00387B5B"/>
    <w:rsid w:val="003904CA"/>
    <w:rsid w:val="003921DE"/>
    <w:rsid w:val="0039582C"/>
    <w:rsid w:val="00396887"/>
    <w:rsid w:val="003B5E73"/>
    <w:rsid w:val="003B6DD5"/>
    <w:rsid w:val="003C0760"/>
    <w:rsid w:val="003D0BA2"/>
    <w:rsid w:val="003D11E6"/>
    <w:rsid w:val="003D46E8"/>
    <w:rsid w:val="003E545E"/>
    <w:rsid w:val="003F44DE"/>
    <w:rsid w:val="003F6CB7"/>
    <w:rsid w:val="004063EB"/>
    <w:rsid w:val="004072E2"/>
    <w:rsid w:val="00414830"/>
    <w:rsid w:val="004172B3"/>
    <w:rsid w:val="00417BB8"/>
    <w:rsid w:val="00421496"/>
    <w:rsid w:val="0042353D"/>
    <w:rsid w:val="0042353F"/>
    <w:rsid w:val="00443173"/>
    <w:rsid w:val="004454A7"/>
    <w:rsid w:val="00446914"/>
    <w:rsid w:val="00453E35"/>
    <w:rsid w:val="00455A10"/>
    <w:rsid w:val="00463E79"/>
    <w:rsid w:val="00464B9E"/>
    <w:rsid w:val="004657F7"/>
    <w:rsid w:val="004707D0"/>
    <w:rsid w:val="00473D1A"/>
    <w:rsid w:val="0047575D"/>
    <w:rsid w:val="00483962"/>
    <w:rsid w:val="00494142"/>
    <w:rsid w:val="004A0124"/>
    <w:rsid w:val="004A2E99"/>
    <w:rsid w:val="004A3034"/>
    <w:rsid w:val="004A4BAC"/>
    <w:rsid w:val="004A6D90"/>
    <w:rsid w:val="004A71F7"/>
    <w:rsid w:val="004B1DDF"/>
    <w:rsid w:val="004C00EB"/>
    <w:rsid w:val="004C50C3"/>
    <w:rsid w:val="004D7DA7"/>
    <w:rsid w:val="004F0D44"/>
    <w:rsid w:val="004F135C"/>
    <w:rsid w:val="004F2C5D"/>
    <w:rsid w:val="00500743"/>
    <w:rsid w:val="00501949"/>
    <w:rsid w:val="00507328"/>
    <w:rsid w:val="00511B2E"/>
    <w:rsid w:val="0051400C"/>
    <w:rsid w:val="00515BD8"/>
    <w:rsid w:val="005204FB"/>
    <w:rsid w:val="00524B77"/>
    <w:rsid w:val="00530885"/>
    <w:rsid w:val="00537CEC"/>
    <w:rsid w:val="005407D0"/>
    <w:rsid w:val="0054746B"/>
    <w:rsid w:val="00553655"/>
    <w:rsid w:val="0055732E"/>
    <w:rsid w:val="00563B32"/>
    <w:rsid w:val="00577031"/>
    <w:rsid w:val="00583F41"/>
    <w:rsid w:val="00584870"/>
    <w:rsid w:val="0059628C"/>
    <w:rsid w:val="005A103B"/>
    <w:rsid w:val="005A2A63"/>
    <w:rsid w:val="005B142D"/>
    <w:rsid w:val="005B3409"/>
    <w:rsid w:val="005C0A6E"/>
    <w:rsid w:val="005C6FBE"/>
    <w:rsid w:val="005C735E"/>
    <w:rsid w:val="005F143E"/>
    <w:rsid w:val="005F6511"/>
    <w:rsid w:val="00606FAD"/>
    <w:rsid w:val="00611703"/>
    <w:rsid w:val="00611CDB"/>
    <w:rsid w:val="0061257B"/>
    <w:rsid w:val="00624DF2"/>
    <w:rsid w:val="006266E8"/>
    <w:rsid w:val="00630BD9"/>
    <w:rsid w:val="006374F2"/>
    <w:rsid w:val="0065287B"/>
    <w:rsid w:val="00655EF9"/>
    <w:rsid w:val="00657309"/>
    <w:rsid w:val="00664F83"/>
    <w:rsid w:val="006671E1"/>
    <w:rsid w:val="00677105"/>
    <w:rsid w:val="0068340E"/>
    <w:rsid w:val="0069442E"/>
    <w:rsid w:val="00694BD4"/>
    <w:rsid w:val="006A4FBA"/>
    <w:rsid w:val="006A66C4"/>
    <w:rsid w:val="006B148F"/>
    <w:rsid w:val="006B6ADB"/>
    <w:rsid w:val="006C02A7"/>
    <w:rsid w:val="006D12BD"/>
    <w:rsid w:val="006D517A"/>
    <w:rsid w:val="006E368F"/>
    <w:rsid w:val="006F270A"/>
    <w:rsid w:val="007074A3"/>
    <w:rsid w:val="00714608"/>
    <w:rsid w:val="00715EFF"/>
    <w:rsid w:val="00717E25"/>
    <w:rsid w:val="00730D01"/>
    <w:rsid w:val="007318DA"/>
    <w:rsid w:val="00734DA8"/>
    <w:rsid w:val="00743137"/>
    <w:rsid w:val="00746E37"/>
    <w:rsid w:val="007577E3"/>
    <w:rsid w:val="00760F78"/>
    <w:rsid w:val="0077022C"/>
    <w:rsid w:val="007739C2"/>
    <w:rsid w:val="0077406A"/>
    <w:rsid w:val="00787383"/>
    <w:rsid w:val="0079088C"/>
    <w:rsid w:val="00790D54"/>
    <w:rsid w:val="00796994"/>
    <w:rsid w:val="00797405"/>
    <w:rsid w:val="007A43DF"/>
    <w:rsid w:val="007A4E56"/>
    <w:rsid w:val="007A52A9"/>
    <w:rsid w:val="007B41B6"/>
    <w:rsid w:val="007B49D6"/>
    <w:rsid w:val="007C25D0"/>
    <w:rsid w:val="007C2912"/>
    <w:rsid w:val="007D6884"/>
    <w:rsid w:val="007D7921"/>
    <w:rsid w:val="007E2F5A"/>
    <w:rsid w:val="007E3128"/>
    <w:rsid w:val="007F23AB"/>
    <w:rsid w:val="007F78C7"/>
    <w:rsid w:val="0080359E"/>
    <w:rsid w:val="0081450A"/>
    <w:rsid w:val="0082177F"/>
    <w:rsid w:val="00821EBF"/>
    <w:rsid w:val="00822FE8"/>
    <w:rsid w:val="00833114"/>
    <w:rsid w:val="008429F4"/>
    <w:rsid w:val="008462DE"/>
    <w:rsid w:val="008714C5"/>
    <w:rsid w:val="008718A4"/>
    <w:rsid w:val="00882D9B"/>
    <w:rsid w:val="00883094"/>
    <w:rsid w:val="00884216"/>
    <w:rsid w:val="00885203"/>
    <w:rsid w:val="00886C8C"/>
    <w:rsid w:val="0089085B"/>
    <w:rsid w:val="0089298B"/>
    <w:rsid w:val="008945A6"/>
    <w:rsid w:val="008A1C90"/>
    <w:rsid w:val="008A7FA4"/>
    <w:rsid w:val="008C0FCC"/>
    <w:rsid w:val="008C3E4B"/>
    <w:rsid w:val="008C67E0"/>
    <w:rsid w:val="008E16A7"/>
    <w:rsid w:val="008E1DB7"/>
    <w:rsid w:val="008F35C1"/>
    <w:rsid w:val="008F62CE"/>
    <w:rsid w:val="008F6BAE"/>
    <w:rsid w:val="0090035E"/>
    <w:rsid w:val="00900E74"/>
    <w:rsid w:val="00902460"/>
    <w:rsid w:val="009038BA"/>
    <w:rsid w:val="00910025"/>
    <w:rsid w:val="0091081C"/>
    <w:rsid w:val="00916834"/>
    <w:rsid w:val="009202B2"/>
    <w:rsid w:val="00920EF9"/>
    <w:rsid w:val="009239D9"/>
    <w:rsid w:val="0093409C"/>
    <w:rsid w:val="0093794E"/>
    <w:rsid w:val="00951D5B"/>
    <w:rsid w:val="00954987"/>
    <w:rsid w:val="00962130"/>
    <w:rsid w:val="00973CF5"/>
    <w:rsid w:val="00983FBA"/>
    <w:rsid w:val="00986C5C"/>
    <w:rsid w:val="00990ACF"/>
    <w:rsid w:val="00991922"/>
    <w:rsid w:val="009A129D"/>
    <w:rsid w:val="009A183A"/>
    <w:rsid w:val="009A54B5"/>
    <w:rsid w:val="009B0456"/>
    <w:rsid w:val="009C019F"/>
    <w:rsid w:val="009D0F68"/>
    <w:rsid w:val="009D241B"/>
    <w:rsid w:val="009E03F3"/>
    <w:rsid w:val="009E6CBB"/>
    <w:rsid w:val="009F4E24"/>
    <w:rsid w:val="009F671D"/>
    <w:rsid w:val="00A001BD"/>
    <w:rsid w:val="00A031BC"/>
    <w:rsid w:val="00A03333"/>
    <w:rsid w:val="00A061D9"/>
    <w:rsid w:val="00A14B1A"/>
    <w:rsid w:val="00A21D57"/>
    <w:rsid w:val="00A255B4"/>
    <w:rsid w:val="00A4538D"/>
    <w:rsid w:val="00A50437"/>
    <w:rsid w:val="00A528AF"/>
    <w:rsid w:val="00A6301D"/>
    <w:rsid w:val="00A84B7C"/>
    <w:rsid w:val="00A86D24"/>
    <w:rsid w:val="00A96A42"/>
    <w:rsid w:val="00A9735D"/>
    <w:rsid w:val="00A97FE2"/>
    <w:rsid w:val="00AA49A8"/>
    <w:rsid w:val="00AB65B2"/>
    <w:rsid w:val="00AB712A"/>
    <w:rsid w:val="00AC1BB7"/>
    <w:rsid w:val="00AC5068"/>
    <w:rsid w:val="00AC5363"/>
    <w:rsid w:val="00AD13DE"/>
    <w:rsid w:val="00AF2620"/>
    <w:rsid w:val="00AF3D81"/>
    <w:rsid w:val="00AF41AA"/>
    <w:rsid w:val="00AF4E68"/>
    <w:rsid w:val="00AF59CA"/>
    <w:rsid w:val="00AF6B7A"/>
    <w:rsid w:val="00B042C2"/>
    <w:rsid w:val="00B079E4"/>
    <w:rsid w:val="00B113E7"/>
    <w:rsid w:val="00B22292"/>
    <w:rsid w:val="00B30CB9"/>
    <w:rsid w:val="00B551AC"/>
    <w:rsid w:val="00B713A2"/>
    <w:rsid w:val="00B9486B"/>
    <w:rsid w:val="00BA3E9B"/>
    <w:rsid w:val="00BB02FE"/>
    <w:rsid w:val="00BD0268"/>
    <w:rsid w:val="00BD2B38"/>
    <w:rsid w:val="00BD2DFC"/>
    <w:rsid w:val="00C00558"/>
    <w:rsid w:val="00C02005"/>
    <w:rsid w:val="00C044E7"/>
    <w:rsid w:val="00C05659"/>
    <w:rsid w:val="00C213D8"/>
    <w:rsid w:val="00C24507"/>
    <w:rsid w:val="00C33235"/>
    <w:rsid w:val="00C46E9B"/>
    <w:rsid w:val="00C559A1"/>
    <w:rsid w:val="00C62249"/>
    <w:rsid w:val="00C651F1"/>
    <w:rsid w:val="00C65895"/>
    <w:rsid w:val="00C6678A"/>
    <w:rsid w:val="00C851E3"/>
    <w:rsid w:val="00C85D5C"/>
    <w:rsid w:val="00C87429"/>
    <w:rsid w:val="00C876A9"/>
    <w:rsid w:val="00C93949"/>
    <w:rsid w:val="00C95885"/>
    <w:rsid w:val="00C967CC"/>
    <w:rsid w:val="00CD0208"/>
    <w:rsid w:val="00CD5490"/>
    <w:rsid w:val="00CE24C3"/>
    <w:rsid w:val="00CF08CC"/>
    <w:rsid w:val="00CF2673"/>
    <w:rsid w:val="00CF3779"/>
    <w:rsid w:val="00CF5463"/>
    <w:rsid w:val="00CF6272"/>
    <w:rsid w:val="00D007EC"/>
    <w:rsid w:val="00D06272"/>
    <w:rsid w:val="00D1403F"/>
    <w:rsid w:val="00D16AFE"/>
    <w:rsid w:val="00D323D0"/>
    <w:rsid w:val="00D371A4"/>
    <w:rsid w:val="00D41C9F"/>
    <w:rsid w:val="00D41F13"/>
    <w:rsid w:val="00D41FBE"/>
    <w:rsid w:val="00D43874"/>
    <w:rsid w:val="00D47AD5"/>
    <w:rsid w:val="00D62706"/>
    <w:rsid w:val="00D7673A"/>
    <w:rsid w:val="00D8082C"/>
    <w:rsid w:val="00D84F7B"/>
    <w:rsid w:val="00D90DBF"/>
    <w:rsid w:val="00DA28D4"/>
    <w:rsid w:val="00DC514B"/>
    <w:rsid w:val="00DD2A35"/>
    <w:rsid w:val="00DD5718"/>
    <w:rsid w:val="00DE1B1B"/>
    <w:rsid w:val="00DE4B1C"/>
    <w:rsid w:val="00E05321"/>
    <w:rsid w:val="00E069E8"/>
    <w:rsid w:val="00E24B7A"/>
    <w:rsid w:val="00E2711B"/>
    <w:rsid w:val="00E27640"/>
    <w:rsid w:val="00E33A21"/>
    <w:rsid w:val="00E34D4C"/>
    <w:rsid w:val="00E4184F"/>
    <w:rsid w:val="00E51AB9"/>
    <w:rsid w:val="00E54E26"/>
    <w:rsid w:val="00E61DE6"/>
    <w:rsid w:val="00E6531F"/>
    <w:rsid w:val="00E90CA7"/>
    <w:rsid w:val="00EB168D"/>
    <w:rsid w:val="00EC1090"/>
    <w:rsid w:val="00EC2D9F"/>
    <w:rsid w:val="00EC4BE1"/>
    <w:rsid w:val="00EC5461"/>
    <w:rsid w:val="00ED0208"/>
    <w:rsid w:val="00ED58AC"/>
    <w:rsid w:val="00EE789F"/>
    <w:rsid w:val="00EF7C8D"/>
    <w:rsid w:val="00F01BA2"/>
    <w:rsid w:val="00F03760"/>
    <w:rsid w:val="00F0408C"/>
    <w:rsid w:val="00F0798A"/>
    <w:rsid w:val="00F07CB0"/>
    <w:rsid w:val="00F1131D"/>
    <w:rsid w:val="00F1321F"/>
    <w:rsid w:val="00F209E7"/>
    <w:rsid w:val="00F265F1"/>
    <w:rsid w:val="00F3022F"/>
    <w:rsid w:val="00F327E0"/>
    <w:rsid w:val="00F4385B"/>
    <w:rsid w:val="00F45362"/>
    <w:rsid w:val="00F54609"/>
    <w:rsid w:val="00F7001B"/>
    <w:rsid w:val="00F709BA"/>
    <w:rsid w:val="00F724AA"/>
    <w:rsid w:val="00F9472A"/>
    <w:rsid w:val="00F97CCE"/>
    <w:rsid w:val="00FA2635"/>
    <w:rsid w:val="00FB443B"/>
    <w:rsid w:val="00FB536A"/>
    <w:rsid w:val="00FB7CFD"/>
    <w:rsid w:val="00FC6C0D"/>
    <w:rsid w:val="00FD25BF"/>
    <w:rsid w:val="00FD351B"/>
    <w:rsid w:val="00FD4003"/>
    <w:rsid w:val="00FD408E"/>
    <w:rsid w:val="00FE29D2"/>
    <w:rsid w:val="00FE35A8"/>
    <w:rsid w:val="00FE6D20"/>
    <w:rsid w:val="00FF151E"/>
    <w:rsid w:val="00FF4E1C"/>
    <w:rsid w:val="00FF56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619A0E"/>
  <w15:chartTrackingRefBased/>
  <w15:docId w15:val="{20C1528A-108C-ED4C-B54B-4ACD5E95C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FF3"/>
    <w:pPr>
      <w:ind w:left="720"/>
      <w:contextualSpacing/>
    </w:pPr>
  </w:style>
  <w:style w:type="paragraph" w:styleId="NormalWeb">
    <w:name w:val="Normal (Web)"/>
    <w:basedOn w:val="Normal"/>
    <w:uiPriority w:val="99"/>
    <w:semiHidden/>
    <w:unhideWhenUsed/>
    <w:rsid w:val="003742E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282871">
      <w:bodyDiv w:val="1"/>
      <w:marLeft w:val="0"/>
      <w:marRight w:val="0"/>
      <w:marTop w:val="0"/>
      <w:marBottom w:val="0"/>
      <w:divBdr>
        <w:top w:val="none" w:sz="0" w:space="0" w:color="auto"/>
        <w:left w:val="none" w:sz="0" w:space="0" w:color="auto"/>
        <w:bottom w:val="none" w:sz="0" w:space="0" w:color="auto"/>
        <w:right w:val="none" w:sz="0" w:space="0" w:color="auto"/>
      </w:divBdr>
    </w:div>
    <w:div w:id="1377970820">
      <w:bodyDiv w:val="1"/>
      <w:marLeft w:val="0"/>
      <w:marRight w:val="0"/>
      <w:marTop w:val="0"/>
      <w:marBottom w:val="0"/>
      <w:divBdr>
        <w:top w:val="none" w:sz="0" w:space="0" w:color="auto"/>
        <w:left w:val="none" w:sz="0" w:space="0" w:color="auto"/>
        <w:bottom w:val="none" w:sz="0" w:space="0" w:color="auto"/>
        <w:right w:val="none" w:sz="0" w:space="0" w:color="auto"/>
      </w:divBdr>
    </w:div>
    <w:div w:id="20601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8</Pages>
  <Words>2542</Words>
  <Characters>14490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Javvadi</dc:creator>
  <cp:keywords/>
  <dc:description/>
  <cp:lastModifiedBy>Sai Javvadi</cp:lastModifiedBy>
  <cp:revision>400</cp:revision>
  <dcterms:created xsi:type="dcterms:W3CDTF">2023-07-10T16:47:00Z</dcterms:created>
  <dcterms:modified xsi:type="dcterms:W3CDTF">2023-07-16T03:43:00Z</dcterms:modified>
</cp:coreProperties>
</file>