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793F" w14:textId="3682B90B" w:rsidR="00EE2DCE" w:rsidRPr="00517A1D" w:rsidRDefault="00EE2DCE" w:rsidP="00452C8E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>Acrylamide Plug</w:t>
      </w:r>
    </w:p>
    <w:p w14:paraId="21272F18" w14:textId="77777777" w:rsidR="00EE2DCE" w:rsidRPr="00517A1D" w:rsidRDefault="00EE2DCE" w:rsidP="00EE2D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15 mL falcon tube:</w:t>
      </w:r>
    </w:p>
    <w:tbl>
      <w:tblPr>
        <w:tblW w:w="5784" w:type="dxa"/>
        <w:jc w:val="center"/>
        <w:tblLook w:val="04A0" w:firstRow="1" w:lastRow="0" w:firstColumn="1" w:lastColumn="0" w:noHBand="0" w:noVBand="1"/>
      </w:tblPr>
      <w:tblGrid>
        <w:gridCol w:w="946"/>
        <w:gridCol w:w="524"/>
        <w:gridCol w:w="406"/>
        <w:gridCol w:w="770"/>
        <w:gridCol w:w="946"/>
        <w:gridCol w:w="2192"/>
      </w:tblGrid>
      <w:tr w:rsidR="00EE2DCE" w:rsidRPr="00517A1D" w14:paraId="44DBBB9B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4670F3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1.924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68142F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DB3D4C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CB4782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962.0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82F0DD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5F0F5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EE2DCE" w:rsidRPr="00517A1D" w14:paraId="0D3730FD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0060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3F4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C5C1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63D6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850.0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0A1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1BC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50% glycerol</w:t>
            </w:r>
          </w:p>
        </w:tc>
      </w:tr>
      <w:tr w:rsidR="00EE2DCE" w:rsidRPr="00517A1D" w14:paraId="66C2F210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5EFF27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6F3935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F28F62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735015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706.7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D41949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DAE65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M Tris (pH 9.3)</w:t>
            </w:r>
          </w:p>
        </w:tc>
      </w:tr>
      <w:tr w:rsidR="00EE2DCE" w:rsidRPr="00517A1D" w14:paraId="0D28C260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4FF0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9B4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EA1F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B7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906.7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66AB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95AB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30% bis-Acrylamide</w:t>
            </w:r>
          </w:p>
        </w:tc>
      </w:tr>
      <w:tr w:rsidR="00EE2DCE" w:rsidRPr="00517A1D" w14:paraId="0C60DB4C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B59D16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58486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DDA6F3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5A9FD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B262E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891E6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10% APS</w:t>
            </w:r>
          </w:p>
        </w:tc>
      </w:tr>
    </w:tbl>
    <w:p w14:paraId="7AC99FB7" w14:textId="10C8B263" w:rsidR="00EE2DCE" w:rsidRPr="00D10E56" w:rsidRDefault="00EE2DCE" w:rsidP="00D10E5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>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2928A30A" w14:textId="7B3C2EC3" w:rsidR="00EE2DCE" w:rsidRPr="00D10E56" w:rsidRDefault="00EE2DCE" w:rsidP="00D10E5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13 µL of TEMED</w:t>
      </w: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 (tetramethyl ethylenediamine). 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700889C9" w14:textId="77777777" w:rsidR="0031120E" w:rsidRDefault="0031120E" w:rsidP="0031120E">
      <w:pPr>
        <w:ind w:firstLine="36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0385AF" w14:textId="77777777" w:rsidR="00EE2DCE" w:rsidRPr="00517A1D" w:rsidRDefault="00EE2DCE" w:rsidP="00EE2DCE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6DBC9951" w14:textId="77777777" w:rsidR="00452C8E" w:rsidRDefault="00452C8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28F5C0A0" w14:textId="5001BD00" w:rsidR="00EE2DCE" w:rsidRPr="00517A1D" w:rsidRDefault="00EE2DCE" w:rsidP="00452C8E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1% Agarose gel</w:t>
      </w:r>
    </w:p>
    <w:p w14:paraId="76EB78D6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beaker:</w:t>
      </w:r>
    </w:p>
    <w:tbl>
      <w:tblPr>
        <w:tblW w:w="4500" w:type="dxa"/>
        <w:jc w:val="center"/>
        <w:tblLook w:val="04A0" w:firstRow="1" w:lastRow="0" w:firstColumn="1" w:lastColumn="0" w:noHBand="0" w:noVBand="1"/>
      </w:tblPr>
      <w:tblGrid>
        <w:gridCol w:w="1300"/>
        <w:gridCol w:w="522"/>
        <w:gridCol w:w="2678"/>
      </w:tblGrid>
      <w:tr w:rsidR="00EE2DCE" w:rsidRPr="00517A1D" w14:paraId="421FF0C6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87AB38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C05863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BAE0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5X Titin Buffer</w:t>
            </w:r>
          </w:p>
        </w:tc>
      </w:tr>
      <w:tr w:rsidR="00EE2DCE" w:rsidRPr="00517A1D" w14:paraId="638D47F3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88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737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038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EE2DCE" w:rsidRPr="00517A1D" w14:paraId="750EDFB8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0E182F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C293E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B19E3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50% glycerol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EE2DCE" w:rsidRPr="00517A1D" w14:paraId="10BD22A9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3E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B6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FEA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SeaKem Gold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garose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2E75B67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0AA4620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*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Glycerol is included in the mixture to increase the solution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viscosity inside the gel and thus sharpen the protein bands.</w:t>
      </w:r>
    </w:p>
    <w:p w14:paraId="5F510CF2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36A7927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**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It is essential to use SeaKem Gold agarose for optimal migration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of high molecular weight proteins. This type has large pore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size and excellent mechanical stability. Other types of </w:t>
      </w: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garoses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may be used, but the protein mobility will be significantly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reduced.</w:t>
      </w:r>
    </w:p>
    <w:p w14:paraId="66B6B3D1" w14:textId="77777777" w:rsidR="00EE2DCE" w:rsidRPr="00517A1D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0A1D534A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Add stir bar to beaker, and weight / record the weight of the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beaker</w:t>
      </w:r>
      <w:proofErr w:type="gramEnd"/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210E2C0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This weight will be used so you can replace the water that lost during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heating</w:t>
      </w:r>
      <w:proofErr w:type="gramEnd"/>
    </w:p>
    <w:p w14:paraId="7CD7A14F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Place the beaker on the hot plate and stir at 100 rpm / heat to 250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C</w:t>
      </w:r>
      <w:proofErr w:type="gramEnd"/>
    </w:p>
    <w:p w14:paraId="7754516D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Place a small beaker with 50 mL of water next to it. You will use this to replace any lost water. </w:t>
      </w:r>
    </w:p>
    <w:p w14:paraId="78C4BB01" w14:textId="77777777" w:rsidR="00EE2DCE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Be careful to watch and make sure the agarose does not boil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over</w:t>
      </w:r>
      <w:proofErr w:type="gramEnd"/>
    </w:p>
    <w:p w14:paraId="2E4711AC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Using the stir bar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during the heating step eliminates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non-hydrated agarose granules in the final gel.</w:t>
      </w:r>
    </w:p>
    <w:p w14:paraId="22DD3E18" w14:textId="77777777" w:rsidR="00B4610D" w:rsidRDefault="00B4610D"/>
    <w:p w14:paraId="4384EC72" w14:textId="77777777" w:rsidR="00FA5576" w:rsidRDefault="00FA5576"/>
    <w:p w14:paraId="2685A08A" w14:textId="77777777" w:rsidR="00452C8E" w:rsidRDefault="00452C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BCD568" w14:textId="342D5E9B" w:rsidR="00452C8E" w:rsidRPr="00BE07BE" w:rsidRDefault="00452C8E" w:rsidP="00452C8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10% SDS-Polya</w:t>
      </w: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crylamide </w:t>
      </w:r>
      <w:r w:rsidR="00BE07BE">
        <w:rPr>
          <w:rFonts w:ascii="Arial" w:hAnsi="Arial" w:cs="Arial"/>
          <w:b/>
          <w:bCs/>
          <w:color w:val="000000" w:themeColor="text1"/>
          <w:sz w:val="22"/>
          <w:szCs w:val="22"/>
        </w:rPr>
        <w:t>Resolving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Gel</w:t>
      </w:r>
      <w:r w:rsidR="00BE07B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BE07BE" w:rsidRPr="00BE07BE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 w:rsidR="00BE07BE" w:rsidRPr="00BE07BE">
        <w:rPr>
          <w:rFonts w:ascii="Arial" w:hAnsi="Arial" w:cs="Arial"/>
          <w:b/>
          <w:bCs/>
          <w:color w:val="FF0000"/>
        </w:rPr>
        <w:t>5.0 mmol/L PhosTa</w:t>
      </w:r>
      <w:r w:rsidR="00BE07BE" w:rsidRPr="00BE07BE">
        <w:rPr>
          <w:rFonts w:ascii="Arial" w:hAnsi="Arial" w:cs="Arial"/>
          <w:b/>
          <w:bCs/>
          <w:color w:val="FF0000"/>
        </w:rPr>
        <w:t>g</w:t>
      </w:r>
      <w:r w:rsidR="00BE07BE" w:rsidRPr="00BE07BE">
        <w:rPr>
          <w:rFonts w:ascii="Arial" w:hAnsi="Arial" w:cs="Arial"/>
          <w:b/>
          <w:bCs/>
        </w:rPr>
        <w:t>)</w:t>
      </w:r>
    </w:p>
    <w:p w14:paraId="2853CB87" w14:textId="77777777" w:rsidR="00452C8E" w:rsidRPr="00517A1D" w:rsidRDefault="00452C8E" w:rsidP="00452C8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15 mL falcon tube: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946"/>
        <w:gridCol w:w="524"/>
        <w:gridCol w:w="406"/>
        <w:gridCol w:w="770"/>
        <w:gridCol w:w="946"/>
        <w:gridCol w:w="4328"/>
      </w:tblGrid>
      <w:tr w:rsidR="00452C8E" w:rsidRPr="00517A1D" w14:paraId="5C876CAD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B3BE3B" w14:textId="0C0BA845" w:rsidR="00452C8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959C26" w14:textId="77777777" w:rsidR="00452C8E" w:rsidRPr="00517A1D" w:rsidRDefault="00452C8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9438EB" w14:textId="77777777" w:rsidR="00452C8E" w:rsidRPr="00517A1D" w:rsidRDefault="00452C8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58646A" w14:textId="4737A359" w:rsidR="00452C8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896</w:t>
            </w:r>
            <w:r w:rsidR="00452C8E" w:rsidRPr="00517A1D">
              <w:rPr>
                <w:rFonts w:ascii="Arial" w:hAnsi="Arial" w:cs="Arial"/>
                <w:color w:val="000000"/>
                <w:sz w:val="22"/>
                <w:szCs w:val="22"/>
              </w:rPr>
              <w:t>.0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111691" w14:textId="5A7B65E4" w:rsidR="00452C8E" w:rsidRPr="00517A1D" w:rsidRDefault="00452C8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="00BE07BE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)</w:t>
            </w:r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9B8D46" w14:textId="77777777" w:rsidR="00452C8E" w:rsidRPr="00517A1D" w:rsidRDefault="00452C8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BE07BE" w:rsidRPr="00517A1D" w14:paraId="334AC3CC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162B" w14:textId="4938D846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9FB" w14:textId="064A9F1B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24A3" w14:textId="143F0AAE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3DD6" w14:textId="1FA4780F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833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EC32" w14:textId="78498978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0F82" w14:textId="7EDE42E4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M Tris (pH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BE07BE" w:rsidRPr="00517A1D" w14:paraId="2DD2552F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462D38" w14:textId="6C8698F5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419B74" w14:textId="596A339E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F59060" w14:textId="0E372E47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B0878B" w14:textId="1FE1F778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890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4CC313" w14:textId="282E83A0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E4991B" w14:textId="0E34A203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30% bis-Acrylamide</w:t>
            </w:r>
          </w:p>
        </w:tc>
      </w:tr>
      <w:tr w:rsidR="00BE07BE" w:rsidRPr="00517A1D" w14:paraId="651370B6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4A3" w14:textId="15D998FD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95E2" w14:textId="6838F158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B89" w14:textId="7FA1DFF9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7597" w14:textId="0C4A94AE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255A" w14:textId="5CF1B0C9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581" w14:textId="17236425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10%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SDS (w/v)</w:t>
            </w:r>
          </w:p>
        </w:tc>
      </w:tr>
      <w:tr w:rsidR="00BE07BE" w:rsidRPr="00517A1D" w14:paraId="5BF5FFB8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D7D0B5" w14:textId="54112D26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6E7A62" w14:textId="00454852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59D825" w14:textId="3EB0A315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C5D56B" w14:textId="0CD276A6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91269" w14:textId="0A897A1B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6403E4" w14:textId="5F49F500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59C0">
              <w:rPr>
                <w:rFonts w:ascii="Arial" w:hAnsi="Arial" w:cs="Arial"/>
                <w:color w:val="FF0000"/>
              </w:rPr>
              <w:t>5.0 mmol/L Phos</w:t>
            </w:r>
            <w:r>
              <w:rPr>
                <w:rFonts w:ascii="Arial" w:hAnsi="Arial" w:cs="Arial"/>
                <w:color w:val="FF0000"/>
              </w:rPr>
              <w:t>T</w:t>
            </w:r>
            <w:r w:rsidRPr="001559C0">
              <w:rPr>
                <w:rFonts w:ascii="Arial" w:hAnsi="Arial" w:cs="Arial"/>
                <w:color w:val="FF0000"/>
              </w:rPr>
              <w:t>ag</w:t>
            </w:r>
            <w:r w:rsidRPr="001559C0">
              <w:rPr>
                <w:rFonts w:ascii="Arial" w:hAnsi="Arial" w:cs="Arial"/>
                <w:color w:val="FF0000"/>
                <w:vertAlign w:val="superscript"/>
              </w:rPr>
              <w:t>TM</w:t>
            </w:r>
            <w:r w:rsidRPr="001559C0">
              <w:rPr>
                <w:rFonts w:ascii="Arial" w:hAnsi="Arial" w:cs="Arial"/>
                <w:color w:val="FF0000"/>
              </w:rPr>
              <w:t xml:space="preserve"> AAL Solution</w:t>
            </w:r>
          </w:p>
        </w:tc>
      </w:tr>
      <w:tr w:rsidR="00BE07BE" w:rsidRPr="00517A1D" w14:paraId="48F3A2F9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041E8" w14:textId="3D967959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D42EA" w14:textId="2F6D27FA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D87C" w14:textId="09A37014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9DFD8" w14:textId="5E0F5C12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D304B" w14:textId="0E4C1035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28A62" w14:textId="4B727D9E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59C0">
              <w:rPr>
                <w:rFonts w:ascii="Arial" w:hAnsi="Arial" w:cs="Arial"/>
                <w:color w:val="FF0000"/>
              </w:rPr>
              <w:t>10 mmol/L MnCl2 Solution</w:t>
            </w:r>
            <w:r w:rsidRPr="001559C0">
              <w:rPr>
                <w:rFonts w:ascii="Arial" w:hAnsi="Arial" w:cs="Arial"/>
                <w:color w:val="FF0000"/>
              </w:rPr>
              <w:tab/>
            </w:r>
          </w:p>
        </w:tc>
      </w:tr>
      <w:tr w:rsidR="00BE07BE" w:rsidRPr="00517A1D" w14:paraId="3AB61891" w14:textId="77777777" w:rsidTr="00BE07BE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45C00E56" w14:textId="691F8235" w:rsidR="00BE07BE" w:rsidRPr="00517A1D" w:rsidRDefault="001873A0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BE07BE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3F2D7F3" w14:textId="0D7AC20C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465375E5" w14:textId="3972FBEF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0ADEAC55" w14:textId="0B37D4CC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B860010" w14:textId="77EB48D5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BD2EB7" w14:textId="290F5EA9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10%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APS (w/v)</w:t>
            </w:r>
          </w:p>
        </w:tc>
      </w:tr>
    </w:tbl>
    <w:p w14:paraId="07601109" w14:textId="2BBF807E" w:rsidR="00452C8E" w:rsidRPr="00D10E56" w:rsidRDefault="00452C8E" w:rsidP="00D10E5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>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0B7A3BEC" w14:textId="53BF40AC" w:rsidR="00452C8E" w:rsidRPr="00D10E56" w:rsidRDefault="00452C8E" w:rsidP="00D10E5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="00BE07BE"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µL of TEMED</w:t>
      </w: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 (tetramethyl ethylenediamine). 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7928F083" w14:textId="6A01ECAA" w:rsidR="00BE07BE" w:rsidRPr="00D10E56" w:rsidRDefault="00BE07BE" w:rsidP="00FA557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Add 5 mL to each gel.</w:t>
      </w:r>
    </w:p>
    <w:p w14:paraId="2D35A35D" w14:textId="329FD1A5" w:rsidR="00FA5576" w:rsidRDefault="00BE07BE" w:rsidP="00D10E5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</w:rPr>
        <w:t>*Red is for P</w:t>
      </w:r>
      <w:r w:rsidRPr="001559C0">
        <w:rPr>
          <w:rFonts w:ascii="Arial" w:hAnsi="Arial" w:cs="Arial"/>
          <w:color w:val="FF0000"/>
        </w:rPr>
        <w:t>hos</w:t>
      </w:r>
      <w:r>
        <w:rPr>
          <w:rFonts w:ascii="Arial" w:hAnsi="Arial" w:cs="Arial"/>
          <w:color w:val="FF0000"/>
        </w:rPr>
        <w:t>T</w:t>
      </w:r>
      <w:r w:rsidRPr="001559C0">
        <w:rPr>
          <w:rFonts w:ascii="Arial" w:hAnsi="Arial" w:cs="Arial"/>
          <w:color w:val="FF0000"/>
        </w:rPr>
        <w:t>ag</w:t>
      </w:r>
      <w:r>
        <w:rPr>
          <w:rFonts w:ascii="Arial" w:hAnsi="Arial" w:cs="Arial"/>
          <w:color w:val="FF0000"/>
        </w:rPr>
        <w:t xml:space="preserve"> gels only*</w:t>
      </w:r>
    </w:p>
    <w:p w14:paraId="6DF3764E" w14:textId="77777777" w:rsidR="00BE07BE" w:rsidRDefault="00BE07BE" w:rsidP="00FA5576">
      <w:pPr>
        <w:jc w:val="both"/>
        <w:rPr>
          <w:rFonts w:ascii="Arial" w:hAnsi="Arial" w:cs="Arial"/>
          <w:b/>
          <w:bCs/>
        </w:rPr>
      </w:pPr>
    </w:p>
    <w:p w14:paraId="129F6FC8" w14:textId="77777777" w:rsidR="00BE07BE" w:rsidRDefault="00BE0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990177D" w14:textId="468A9804" w:rsidR="00BE07BE" w:rsidRPr="00BE07BE" w:rsidRDefault="00BE07BE" w:rsidP="00BE07B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4.5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% SDS-Polya</w:t>
      </w: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crylamide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Stacking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Gel</w:t>
      </w:r>
    </w:p>
    <w:p w14:paraId="77E1C2FD" w14:textId="77777777" w:rsidR="00BE07BE" w:rsidRPr="00517A1D" w:rsidRDefault="00BE07BE" w:rsidP="00D10E5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15 mL falcon tube: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946"/>
        <w:gridCol w:w="524"/>
        <w:gridCol w:w="406"/>
        <w:gridCol w:w="770"/>
        <w:gridCol w:w="946"/>
        <w:gridCol w:w="4328"/>
      </w:tblGrid>
      <w:tr w:rsidR="00BE07BE" w:rsidRPr="00517A1D" w14:paraId="2EB394CE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026709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379951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01721E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83E3DB" w14:textId="3372B119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C92540" w14:textId="07BADDD3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)</w:t>
            </w:r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A6AFCF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BE07BE" w:rsidRPr="00517A1D" w14:paraId="3557CAB4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F5F" w14:textId="3E0D6E10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45DE" w14:textId="6957C77E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0DC5" w14:textId="262ADA3C" w:rsidR="00BE07BE" w:rsidRPr="00517A1D" w:rsidRDefault="00BE07BE" w:rsidP="00BE07B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1A48" w14:textId="025F03D6" w:rsidR="00BE07BE" w:rsidRPr="00517A1D" w:rsidRDefault="00BE07BE" w:rsidP="00BE07B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FC39" w14:textId="730389C9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D5CD" w14:textId="4D44C55B" w:rsidR="00BE07BE" w:rsidRPr="00517A1D" w:rsidRDefault="00BE07BE" w:rsidP="00BE07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.5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M Tris (pH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10E56" w:rsidRPr="00517A1D" w14:paraId="6B0CB6A5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081BD5" w14:textId="41518875" w:rsidR="00D10E56" w:rsidRPr="00517A1D" w:rsidRDefault="00D10E56" w:rsidP="00D10E5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2075F2" w14:textId="2E2A56BB" w:rsidR="00D10E56" w:rsidRPr="00517A1D" w:rsidRDefault="00D10E56" w:rsidP="00D10E5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59AE43" w14:textId="5502FC39" w:rsidR="00D10E56" w:rsidRPr="00517A1D" w:rsidRDefault="00D10E56" w:rsidP="00D10E5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7F2904" w14:textId="7915A06F" w:rsidR="00D10E56" w:rsidRPr="00517A1D" w:rsidRDefault="00D10E56" w:rsidP="00D10E5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554EC7" w14:textId="035E7324" w:rsidR="00D10E56" w:rsidRPr="00517A1D" w:rsidRDefault="00D10E56" w:rsidP="00D10E5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BBF757" w14:textId="77777777" w:rsidR="00D10E56" w:rsidRPr="00517A1D" w:rsidRDefault="00D10E56" w:rsidP="00D10E5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30% bis-Acrylamide</w:t>
            </w:r>
          </w:p>
        </w:tc>
      </w:tr>
      <w:tr w:rsidR="00BE07BE" w:rsidRPr="00517A1D" w14:paraId="7F0BCBD3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C350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B924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530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DD9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1787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6AA3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10%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SDS (w/v)</w:t>
            </w:r>
          </w:p>
        </w:tc>
      </w:tr>
      <w:tr w:rsidR="00BE07BE" w:rsidRPr="00517A1D" w14:paraId="70B9E288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0F7C0E46" w14:textId="56F353A1" w:rsidR="00BE07BE" w:rsidRPr="00517A1D" w:rsidRDefault="00D10E56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BE07BE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53C464F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46204FE" w14:textId="77777777" w:rsidR="00BE07BE" w:rsidRPr="00517A1D" w:rsidRDefault="00BE07B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0F6631E8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E955C82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30ACF27" w14:textId="77777777" w:rsidR="00BE07BE" w:rsidRPr="00517A1D" w:rsidRDefault="00BE07B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10%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APS (w/v)</w:t>
            </w:r>
          </w:p>
        </w:tc>
      </w:tr>
    </w:tbl>
    <w:p w14:paraId="316F7D43" w14:textId="77777777" w:rsidR="00D10E56" w:rsidRDefault="00BE07BE" w:rsidP="00D10E5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>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1AB37A60" w14:textId="77777777" w:rsidR="00D10E56" w:rsidRDefault="00BE07BE" w:rsidP="00D10E5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="00D10E56"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8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µL of TEMED</w:t>
      </w:r>
      <w:r w:rsidRPr="00D10E56">
        <w:rPr>
          <w:rFonts w:ascii="Arial" w:hAnsi="Arial" w:cs="Arial"/>
          <w:color w:val="000000" w:themeColor="text1"/>
          <w:sz w:val="22"/>
          <w:szCs w:val="22"/>
        </w:rPr>
        <w:t xml:space="preserve"> (tetramethyl ethylenediamine). Mix by gently pipetting a few times</w:t>
      </w: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308ACDD2" w14:textId="270234E2" w:rsidR="00BE07BE" w:rsidRPr="00D10E56" w:rsidRDefault="00BE07BE" w:rsidP="00D10E5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Fill to top of gel caster and then add combs in </w:t>
      </w:r>
      <w:proofErr w:type="gramStart"/>
      <w:r w:rsidRPr="00D10E56">
        <w:rPr>
          <w:rFonts w:ascii="Arial" w:hAnsi="Arial" w:cs="Arial"/>
          <w:b/>
          <w:bCs/>
          <w:color w:val="000000" w:themeColor="text1"/>
          <w:sz w:val="22"/>
          <w:szCs w:val="22"/>
        </w:rPr>
        <w:t>quickly</w:t>
      </w:r>
      <w:proofErr w:type="gramEnd"/>
    </w:p>
    <w:p w14:paraId="5806BA0B" w14:textId="77777777" w:rsidR="00BE07BE" w:rsidRDefault="00BE07BE" w:rsidP="00BE07BE">
      <w:pPr>
        <w:jc w:val="both"/>
        <w:rPr>
          <w:rFonts w:ascii="Arial" w:hAnsi="Arial" w:cs="Arial"/>
          <w:b/>
          <w:bCs/>
        </w:rPr>
      </w:pPr>
    </w:p>
    <w:p w14:paraId="204BCB50" w14:textId="77777777" w:rsidR="00FA5576" w:rsidRDefault="00FA5576"/>
    <w:sectPr w:rsidR="00FA5576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176D" w14:textId="77777777" w:rsidR="00844683" w:rsidRDefault="00844683" w:rsidP="00BE07BE">
      <w:r>
        <w:separator/>
      </w:r>
    </w:p>
  </w:endnote>
  <w:endnote w:type="continuationSeparator" w:id="0">
    <w:p w14:paraId="0B0A8C8C" w14:textId="77777777" w:rsidR="00844683" w:rsidRDefault="00844683" w:rsidP="00BE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7276" w14:textId="77777777" w:rsidR="00844683" w:rsidRDefault="00844683" w:rsidP="00BE07BE">
      <w:r>
        <w:separator/>
      </w:r>
    </w:p>
  </w:footnote>
  <w:footnote w:type="continuationSeparator" w:id="0">
    <w:p w14:paraId="770AF76A" w14:textId="77777777" w:rsidR="00844683" w:rsidRDefault="00844683" w:rsidP="00BE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2A8"/>
    <w:multiLevelType w:val="hybridMultilevel"/>
    <w:tmpl w:val="B9963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A4BAA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7A5513F"/>
    <w:multiLevelType w:val="hybridMultilevel"/>
    <w:tmpl w:val="51EA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C747F3"/>
    <w:multiLevelType w:val="hybridMultilevel"/>
    <w:tmpl w:val="06B0DDB6"/>
    <w:lvl w:ilvl="0" w:tplc="1DACA2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977C7C"/>
    <w:multiLevelType w:val="hybridMultilevel"/>
    <w:tmpl w:val="B582CFB6"/>
    <w:lvl w:ilvl="0" w:tplc="351278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C12A9"/>
    <w:multiLevelType w:val="hybridMultilevel"/>
    <w:tmpl w:val="5EF2DAD8"/>
    <w:lvl w:ilvl="0" w:tplc="41F244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B7220"/>
    <w:multiLevelType w:val="hybridMultilevel"/>
    <w:tmpl w:val="D43204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E2287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72783387">
    <w:abstractNumId w:val="7"/>
  </w:num>
  <w:num w:numId="2" w16cid:durableId="230504592">
    <w:abstractNumId w:val="3"/>
  </w:num>
  <w:num w:numId="3" w16cid:durableId="978221826">
    <w:abstractNumId w:val="6"/>
  </w:num>
  <w:num w:numId="4" w16cid:durableId="1315373701">
    <w:abstractNumId w:val="2"/>
  </w:num>
  <w:num w:numId="5" w16cid:durableId="1473323649">
    <w:abstractNumId w:val="0"/>
  </w:num>
  <w:num w:numId="6" w16cid:durableId="673655529">
    <w:abstractNumId w:val="1"/>
  </w:num>
  <w:num w:numId="7" w16cid:durableId="1745684930">
    <w:abstractNumId w:val="8"/>
  </w:num>
  <w:num w:numId="8" w16cid:durableId="323362687">
    <w:abstractNumId w:val="5"/>
  </w:num>
  <w:num w:numId="9" w16cid:durableId="1733041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CE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873A0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120E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2C8E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44683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E07BE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0E56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2DCE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A5576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7B2C7"/>
  <w15:chartTrackingRefBased/>
  <w15:docId w15:val="{AB2B3E22-C1D9-6745-BB22-228CEA88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C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7B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0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7B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4</cp:revision>
  <dcterms:created xsi:type="dcterms:W3CDTF">2023-06-02T10:40:00Z</dcterms:created>
  <dcterms:modified xsi:type="dcterms:W3CDTF">2023-06-02T11:56:00Z</dcterms:modified>
</cp:coreProperties>
</file>