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DocFlow AI</w:t>
      </w:r>
    </w:p>
    <w:p>
      <w:pPr>
        <w:pStyle w:val="Heading2"/>
      </w:pPr>
      <w:r>
        <w:t>Contrato</w:t>
      </w:r>
    </w:p>
    <w:p>
      <w:r>
        <w:t>Cliente: Pedro Campos</w:t>
      </w:r>
    </w:p>
    <w:p/>
    <w:p>
      <w:r>
        <w:br/>
        <w:t>DOCUMENTO GERADO AUTOMATICAMENTE</w:t>
        <w:br/>
        <w:br/>
        <w:t>Tipo de Documento: Contrato</w:t>
        <w:br/>
        <w:t>Cliente: Pedro Campos</w:t>
        <w:br/>
        <w:br/>
        <w:t>Resumo das Informações:</w:t>
        <w:br/>
        <w:t>Testando</w:t>
        <w:br/>
        <w:br/>
        <w:t>Texto Gerado:</w:t>
        <w:br/>
        <w:t>Com base nas informações fornecidas, este documento foi estruturado automaticamente para auxiliar na organização, padronização e agilidade do processo documental.</w:t>
        <w:br/>
        <w:br/>
        <w:t>Declara-se que as informações apresentadas foram registradas conforme os dados inseridos no sistema, podendo ser revisadas e complementadas antes da emissão final.</w:t>
        <w:br/>
        <w:br/>
        <w:t>Atenciosamente,</w:t>
        <w:br/>
        <w:br/>
        <w:t>DocFlow AI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