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9BD0" w14:textId="77777777" w:rsidR="007B47B7" w:rsidRPr="002F092F" w:rsidRDefault="007B47B7" w:rsidP="005715D0">
      <w:pPr>
        <w:rPr>
          <w:rStyle w:val="normaltextrun"/>
          <w:rFonts w:eastAsiaTheme="majorEastAsia" w:cs="Arial"/>
          <w:sz w:val="28"/>
          <w:szCs w:val="28"/>
        </w:rPr>
      </w:pPr>
    </w:p>
    <w:p w14:paraId="328BB6AE" w14:textId="77777777" w:rsidR="007B47B7" w:rsidRPr="002F092F" w:rsidRDefault="007B47B7" w:rsidP="007B50EC">
      <w:pPr>
        <w:pStyle w:val="paragraph"/>
        <w:spacing w:before="0" w:beforeAutospacing="0" w:after="0" w:afterAutospacing="0" w:line="360" w:lineRule="auto"/>
        <w:jc w:val="center"/>
        <w:textAlignment w:val="baseline"/>
        <w:rPr>
          <w:rStyle w:val="normaltextrun"/>
          <w:rFonts w:ascii="Arial" w:eastAsiaTheme="majorEastAsia" w:hAnsi="Arial" w:cs="Arial"/>
          <w:sz w:val="28"/>
          <w:szCs w:val="28"/>
        </w:rPr>
      </w:pPr>
    </w:p>
    <w:p w14:paraId="29244549" w14:textId="2601E423" w:rsidR="005B2404" w:rsidRPr="005715D0" w:rsidRDefault="005B2404" w:rsidP="007B50EC">
      <w:pPr>
        <w:spacing w:line="360" w:lineRule="auto"/>
        <w:ind w:left="720" w:firstLine="0"/>
        <w:jc w:val="center"/>
      </w:pPr>
      <w:r w:rsidRPr="005715D0">
        <w:t>Universidad Estatal a Distancia</w:t>
      </w:r>
    </w:p>
    <w:p w14:paraId="6F82B84A" w14:textId="3199DACC" w:rsidR="005B2404" w:rsidRPr="005715D0" w:rsidRDefault="005B2404" w:rsidP="007B50EC">
      <w:pPr>
        <w:spacing w:line="360" w:lineRule="auto"/>
        <w:ind w:left="720" w:firstLine="0"/>
        <w:jc w:val="center"/>
      </w:pPr>
      <w:r w:rsidRPr="005715D0">
        <w:t>Vicerrectoría Académica</w:t>
      </w:r>
    </w:p>
    <w:p w14:paraId="04E4E69F" w14:textId="766B93E8" w:rsidR="005B2404" w:rsidRPr="005715D0" w:rsidRDefault="005B2404" w:rsidP="007B50EC">
      <w:pPr>
        <w:spacing w:line="360" w:lineRule="auto"/>
        <w:ind w:left="720" w:firstLine="0"/>
        <w:jc w:val="center"/>
      </w:pPr>
      <w:r w:rsidRPr="005715D0">
        <w:t>Escuela De Ciencias Exactas y Naturales</w:t>
      </w:r>
    </w:p>
    <w:p w14:paraId="5C701F6D" w14:textId="18161648" w:rsidR="005B2404" w:rsidRPr="005715D0" w:rsidRDefault="005B2404" w:rsidP="007B50EC">
      <w:pPr>
        <w:spacing w:line="360" w:lineRule="auto"/>
        <w:ind w:left="720" w:firstLine="0"/>
        <w:jc w:val="center"/>
      </w:pPr>
      <w:r w:rsidRPr="005715D0">
        <w:t xml:space="preserve">Carrera de </w:t>
      </w:r>
      <w:r w:rsidR="00BE0349" w:rsidRPr="005715D0">
        <w:t>Bachillerato</w:t>
      </w:r>
      <w:r w:rsidRPr="005715D0">
        <w:t xml:space="preserve"> en Ingeniería Informática</w:t>
      </w:r>
    </w:p>
    <w:p w14:paraId="5472853E" w14:textId="7C551355" w:rsidR="005B2404" w:rsidRPr="005715D0" w:rsidRDefault="005B2404" w:rsidP="007B50EC">
      <w:pPr>
        <w:spacing w:line="360" w:lineRule="auto"/>
        <w:ind w:left="720" w:firstLine="0"/>
        <w:jc w:val="center"/>
      </w:pPr>
      <w:r w:rsidRPr="005715D0">
        <w:t xml:space="preserve">Asignatura: </w:t>
      </w:r>
      <w:r w:rsidR="004E5E50" w:rsidRPr="005715D0">
        <w:t>ADMIN.EN TECNOLOGIA DE INFORMAC.Y COMUNIC</w:t>
      </w:r>
    </w:p>
    <w:p w14:paraId="486E83E6" w14:textId="22618A52" w:rsidR="005B2404" w:rsidRPr="005715D0" w:rsidRDefault="005B2404" w:rsidP="007B50EC">
      <w:pPr>
        <w:spacing w:line="360" w:lineRule="auto"/>
        <w:ind w:left="720" w:firstLine="0"/>
        <w:jc w:val="center"/>
      </w:pPr>
      <w:r w:rsidRPr="005715D0">
        <w:t xml:space="preserve">Código: </w:t>
      </w:r>
      <w:r w:rsidR="00AC0E63" w:rsidRPr="005715D0">
        <w:t>03</w:t>
      </w:r>
      <w:r w:rsidR="004E5E50" w:rsidRPr="005715D0">
        <w:t>305</w:t>
      </w:r>
    </w:p>
    <w:p w14:paraId="52C6E95E" w14:textId="13042E2E" w:rsidR="005B2404" w:rsidRPr="005715D0" w:rsidRDefault="005B2404" w:rsidP="007B50EC">
      <w:pPr>
        <w:spacing w:line="360" w:lineRule="auto"/>
        <w:ind w:left="720" w:firstLine="0"/>
        <w:jc w:val="center"/>
      </w:pPr>
      <w:r w:rsidRPr="005715D0">
        <w:t>Tarea #1</w:t>
      </w:r>
    </w:p>
    <w:p w14:paraId="33F39AAF" w14:textId="226C4BA4" w:rsidR="005B2404" w:rsidRPr="005715D0" w:rsidRDefault="005B2404" w:rsidP="007B50EC">
      <w:pPr>
        <w:spacing w:line="360" w:lineRule="auto"/>
        <w:ind w:left="720" w:firstLine="0"/>
        <w:jc w:val="center"/>
      </w:pPr>
      <w:r w:rsidRPr="005715D0">
        <w:t>Estudiante:</w:t>
      </w:r>
    </w:p>
    <w:p w14:paraId="2381F5C1" w14:textId="77777777" w:rsidR="005B2404" w:rsidRPr="005715D0" w:rsidRDefault="005B2404" w:rsidP="007B50EC">
      <w:pPr>
        <w:spacing w:line="360" w:lineRule="auto"/>
        <w:ind w:left="720" w:firstLine="0"/>
        <w:jc w:val="center"/>
      </w:pPr>
      <w:r w:rsidRPr="005715D0">
        <w:t>Francisco Campos Sandi</w:t>
      </w:r>
    </w:p>
    <w:p w14:paraId="4BBDC035" w14:textId="77777777" w:rsidR="005B2404" w:rsidRPr="005715D0" w:rsidRDefault="005B2404" w:rsidP="007B50EC">
      <w:pPr>
        <w:spacing w:line="360" w:lineRule="auto"/>
        <w:ind w:left="720" w:firstLine="0"/>
        <w:jc w:val="center"/>
      </w:pPr>
      <w:r w:rsidRPr="005715D0">
        <w:t>114750560</w:t>
      </w:r>
    </w:p>
    <w:p w14:paraId="49839BF4" w14:textId="77777777" w:rsidR="005B2404" w:rsidRPr="005715D0" w:rsidRDefault="005B2404" w:rsidP="007B50EC">
      <w:pPr>
        <w:spacing w:line="360" w:lineRule="auto"/>
        <w:ind w:left="720" w:firstLine="0"/>
        <w:jc w:val="center"/>
      </w:pPr>
      <w:r w:rsidRPr="005715D0">
        <w:t>Sede: San Vito</w:t>
      </w:r>
    </w:p>
    <w:p w14:paraId="5902AC4B" w14:textId="77777777" w:rsidR="005B2404" w:rsidRPr="005715D0" w:rsidRDefault="005B2404" w:rsidP="007B50EC">
      <w:pPr>
        <w:spacing w:line="360" w:lineRule="auto"/>
        <w:ind w:left="720" w:firstLine="0"/>
        <w:jc w:val="center"/>
      </w:pPr>
      <w:r w:rsidRPr="005715D0">
        <w:t>Grupo 04</w:t>
      </w:r>
    </w:p>
    <w:p w14:paraId="56988C1E" w14:textId="45C6FA20" w:rsidR="005B2404" w:rsidRPr="005715D0" w:rsidRDefault="005B2404" w:rsidP="007B50EC">
      <w:pPr>
        <w:spacing w:line="360" w:lineRule="auto"/>
        <w:ind w:left="720" w:firstLine="0"/>
        <w:jc w:val="center"/>
      </w:pPr>
      <w:r w:rsidRPr="005715D0">
        <w:t xml:space="preserve">Tutor: </w:t>
      </w:r>
      <w:r w:rsidR="004E5E50" w:rsidRPr="005715D0">
        <w:t>Carlos Rodríguez Chavarría</w:t>
      </w:r>
    </w:p>
    <w:p w14:paraId="354430B1" w14:textId="2F9E9D82" w:rsidR="005B2404" w:rsidRDefault="005B2404" w:rsidP="007B50EC">
      <w:pPr>
        <w:spacing w:line="360" w:lineRule="auto"/>
        <w:ind w:left="720" w:firstLine="0"/>
        <w:jc w:val="center"/>
      </w:pPr>
      <w:r w:rsidRPr="005715D0">
        <w:t>I Cuatrimestre 202</w:t>
      </w:r>
      <w:r w:rsidR="00BE0349" w:rsidRPr="005715D0">
        <w:t>5</w:t>
      </w:r>
    </w:p>
    <w:p w14:paraId="47358625" w14:textId="77777777" w:rsidR="005715D0" w:rsidRDefault="005715D0" w:rsidP="005715D0">
      <w:pPr>
        <w:sectPr w:rsidR="005715D0" w:rsidSect="002216E7">
          <w:headerReference w:type="default" r:id="rId8"/>
          <w:headerReference w:type="first" r:id="rId9"/>
          <w:pgSz w:w="12240" w:h="15840"/>
          <w:pgMar w:top="1440" w:right="1440" w:bottom="1440" w:left="1440" w:header="708" w:footer="708" w:gutter="0"/>
          <w:cols w:space="708"/>
          <w:titlePg/>
          <w:docGrid w:linePitch="360"/>
        </w:sectPr>
      </w:pPr>
    </w:p>
    <w:sdt>
      <w:sdtPr>
        <w:rPr>
          <w:rFonts w:ascii="Arial" w:eastAsiaTheme="minorHAnsi" w:hAnsi="Arial" w:cstheme="minorBidi"/>
          <w:color w:val="auto"/>
          <w:sz w:val="22"/>
          <w:szCs w:val="22"/>
          <w:lang w:val="es-ES" w:eastAsia="en-US"/>
        </w:rPr>
        <w:id w:val="-120393747"/>
        <w:docPartObj>
          <w:docPartGallery w:val="Table of Contents"/>
          <w:docPartUnique/>
        </w:docPartObj>
      </w:sdtPr>
      <w:sdtEndPr>
        <w:rPr>
          <w:b/>
          <w:bCs/>
        </w:rPr>
      </w:sdtEndPr>
      <w:sdtContent>
        <w:p w14:paraId="10D8EEA7" w14:textId="116F785F" w:rsidR="007B50EC" w:rsidRPr="007B50EC" w:rsidRDefault="007B50EC" w:rsidP="007B50EC">
          <w:pPr>
            <w:pStyle w:val="TtuloTDC"/>
            <w:spacing w:line="360" w:lineRule="auto"/>
            <w:rPr>
              <w:rFonts w:ascii="Arial" w:hAnsi="Arial" w:cs="Arial"/>
              <w:b/>
              <w:bCs/>
              <w:color w:val="auto"/>
              <w:sz w:val="22"/>
              <w:szCs w:val="22"/>
            </w:rPr>
          </w:pPr>
          <w:r w:rsidRPr="007B50EC">
            <w:rPr>
              <w:rFonts w:ascii="Arial" w:hAnsi="Arial" w:cs="Arial"/>
              <w:b/>
              <w:bCs/>
              <w:color w:val="auto"/>
              <w:sz w:val="22"/>
              <w:szCs w:val="22"/>
              <w:lang w:val="es-ES"/>
            </w:rPr>
            <w:t>Tabla de contenido</w:t>
          </w:r>
        </w:p>
        <w:p w14:paraId="5D77AE77" w14:textId="46A96D6E" w:rsidR="007B50EC" w:rsidRPr="007B50EC" w:rsidRDefault="007B50EC" w:rsidP="007B50EC">
          <w:pPr>
            <w:pStyle w:val="TDC1"/>
            <w:tabs>
              <w:tab w:val="right" w:leader="dot" w:pos="9350"/>
            </w:tabs>
            <w:spacing w:line="360" w:lineRule="auto"/>
            <w:rPr>
              <w:rFonts w:eastAsiaTheme="minorEastAsia" w:cs="Arial"/>
              <w:noProof/>
              <w:lang w:eastAsia="es-CR"/>
            </w:rPr>
          </w:pPr>
          <w:r w:rsidRPr="007B50EC">
            <w:rPr>
              <w:rFonts w:cs="Arial"/>
            </w:rPr>
            <w:fldChar w:fldCharType="begin"/>
          </w:r>
          <w:r w:rsidRPr="007B50EC">
            <w:rPr>
              <w:rFonts w:cs="Arial"/>
            </w:rPr>
            <w:instrText xml:space="preserve"> TOC \o "1-3" \h \z \u </w:instrText>
          </w:r>
          <w:r w:rsidRPr="007B50EC">
            <w:rPr>
              <w:rFonts w:cs="Arial"/>
            </w:rPr>
            <w:fldChar w:fldCharType="separate"/>
          </w:r>
          <w:hyperlink w:anchor="_Toc191950056" w:history="1">
            <w:r w:rsidRPr="007B50EC">
              <w:rPr>
                <w:rStyle w:val="Hipervnculo"/>
                <w:rFonts w:cs="Arial"/>
                <w:noProof/>
                <w:color w:val="auto"/>
              </w:rPr>
              <w:t>El alineamiento de TI con el negocio para el éxito organizacional en la era digital</w:t>
            </w:r>
            <w:r w:rsidRPr="007B50EC">
              <w:rPr>
                <w:rFonts w:cs="Arial"/>
                <w:noProof/>
                <w:webHidden/>
              </w:rPr>
              <w:tab/>
            </w:r>
            <w:r w:rsidRPr="007B50EC">
              <w:rPr>
                <w:rFonts w:cs="Arial"/>
                <w:noProof/>
                <w:webHidden/>
              </w:rPr>
              <w:fldChar w:fldCharType="begin"/>
            </w:r>
            <w:r w:rsidRPr="007B50EC">
              <w:rPr>
                <w:rFonts w:cs="Arial"/>
                <w:noProof/>
                <w:webHidden/>
              </w:rPr>
              <w:instrText xml:space="preserve"> PAGEREF _Toc191950056 \h </w:instrText>
            </w:r>
            <w:r w:rsidRPr="007B50EC">
              <w:rPr>
                <w:rFonts w:cs="Arial"/>
                <w:noProof/>
                <w:webHidden/>
              </w:rPr>
            </w:r>
            <w:r w:rsidRPr="007B50EC">
              <w:rPr>
                <w:rFonts w:cs="Arial"/>
                <w:noProof/>
                <w:webHidden/>
              </w:rPr>
              <w:fldChar w:fldCharType="separate"/>
            </w:r>
            <w:r w:rsidR="00704792">
              <w:rPr>
                <w:rFonts w:cs="Arial"/>
                <w:noProof/>
                <w:webHidden/>
              </w:rPr>
              <w:t>2</w:t>
            </w:r>
            <w:r w:rsidRPr="007B50EC">
              <w:rPr>
                <w:rFonts w:cs="Arial"/>
                <w:noProof/>
                <w:webHidden/>
              </w:rPr>
              <w:fldChar w:fldCharType="end"/>
            </w:r>
          </w:hyperlink>
        </w:p>
        <w:p w14:paraId="536CF541" w14:textId="7557BB51" w:rsidR="007B50EC" w:rsidRPr="007B50EC" w:rsidRDefault="007B50EC" w:rsidP="007B50EC">
          <w:pPr>
            <w:pStyle w:val="TDC2"/>
            <w:tabs>
              <w:tab w:val="right" w:leader="dot" w:pos="9350"/>
            </w:tabs>
            <w:spacing w:line="360" w:lineRule="auto"/>
            <w:rPr>
              <w:rFonts w:eastAsiaTheme="minorEastAsia" w:cs="Arial"/>
              <w:noProof/>
              <w:lang w:eastAsia="es-CR"/>
            </w:rPr>
          </w:pPr>
          <w:hyperlink w:anchor="_Toc191950057" w:history="1">
            <w:r w:rsidRPr="007B50EC">
              <w:rPr>
                <w:rStyle w:val="Hipervnculo"/>
                <w:rFonts w:cs="Arial"/>
                <w:noProof/>
                <w:color w:val="auto"/>
              </w:rPr>
              <w:t>Recomendaciones</w:t>
            </w:r>
            <w:r w:rsidRPr="007B50EC">
              <w:rPr>
                <w:rFonts w:cs="Arial"/>
                <w:noProof/>
                <w:webHidden/>
              </w:rPr>
              <w:tab/>
            </w:r>
            <w:r w:rsidRPr="007B50EC">
              <w:rPr>
                <w:rFonts w:cs="Arial"/>
                <w:noProof/>
                <w:webHidden/>
              </w:rPr>
              <w:fldChar w:fldCharType="begin"/>
            </w:r>
            <w:r w:rsidRPr="007B50EC">
              <w:rPr>
                <w:rFonts w:cs="Arial"/>
                <w:noProof/>
                <w:webHidden/>
              </w:rPr>
              <w:instrText xml:space="preserve"> PAGEREF _Toc191950057 \h </w:instrText>
            </w:r>
            <w:r w:rsidRPr="007B50EC">
              <w:rPr>
                <w:rFonts w:cs="Arial"/>
                <w:noProof/>
                <w:webHidden/>
              </w:rPr>
            </w:r>
            <w:r w:rsidRPr="007B50EC">
              <w:rPr>
                <w:rFonts w:cs="Arial"/>
                <w:noProof/>
                <w:webHidden/>
              </w:rPr>
              <w:fldChar w:fldCharType="separate"/>
            </w:r>
            <w:r w:rsidR="00704792">
              <w:rPr>
                <w:rFonts w:cs="Arial"/>
                <w:noProof/>
                <w:webHidden/>
              </w:rPr>
              <w:t>4</w:t>
            </w:r>
            <w:r w:rsidRPr="007B50EC">
              <w:rPr>
                <w:rFonts w:cs="Arial"/>
                <w:noProof/>
                <w:webHidden/>
              </w:rPr>
              <w:fldChar w:fldCharType="end"/>
            </w:r>
          </w:hyperlink>
        </w:p>
        <w:p w14:paraId="16099948" w14:textId="181676EF" w:rsidR="007B50EC" w:rsidRPr="007B50EC" w:rsidRDefault="007B50EC" w:rsidP="007B50EC">
          <w:pPr>
            <w:pStyle w:val="TDC1"/>
            <w:tabs>
              <w:tab w:val="right" w:leader="dot" w:pos="9350"/>
            </w:tabs>
            <w:spacing w:line="360" w:lineRule="auto"/>
            <w:rPr>
              <w:rFonts w:eastAsiaTheme="minorEastAsia" w:cs="Arial"/>
              <w:noProof/>
              <w:lang w:eastAsia="es-CR"/>
            </w:rPr>
          </w:pPr>
          <w:hyperlink w:anchor="_Toc191950058" w:history="1">
            <w:r w:rsidRPr="007B50EC">
              <w:rPr>
                <w:rStyle w:val="Hipervnculo"/>
                <w:rFonts w:cs="Arial"/>
                <w:noProof/>
                <w:color w:val="auto"/>
              </w:rPr>
              <w:t>Plan de acción</w:t>
            </w:r>
            <w:r w:rsidRPr="007B50EC">
              <w:rPr>
                <w:rFonts w:cs="Arial"/>
                <w:noProof/>
                <w:webHidden/>
              </w:rPr>
              <w:tab/>
            </w:r>
            <w:r w:rsidRPr="007B50EC">
              <w:rPr>
                <w:rFonts w:cs="Arial"/>
                <w:noProof/>
                <w:webHidden/>
              </w:rPr>
              <w:fldChar w:fldCharType="begin"/>
            </w:r>
            <w:r w:rsidRPr="007B50EC">
              <w:rPr>
                <w:rFonts w:cs="Arial"/>
                <w:noProof/>
                <w:webHidden/>
              </w:rPr>
              <w:instrText xml:space="preserve"> PAGEREF _Toc191950058 \h </w:instrText>
            </w:r>
            <w:r w:rsidRPr="007B50EC">
              <w:rPr>
                <w:rFonts w:cs="Arial"/>
                <w:noProof/>
                <w:webHidden/>
              </w:rPr>
            </w:r>
            <w:r w:rsidRPr="007B50EC">
              <w:rPr>
                <w:rFonts w:cs="Arial"/>
                <w:noProof/>
                <w:webHidden/>
              </w:rPr>
              <w:fldChar w:fldCharType="separate"/>
            </w:r>
            <w:r w:rsidR="00704792">
              <w:rPr>
                <w:rFonts w:cs="Arial"/>
                <w:noProof/>
                <w:webHidden/>
              </w:rPr>
              <w:t>5</w:t>
            </w:r>
            <w:r w:rsidRPr="007B50EC">
              <w:rPr>
                <w:rFonts w:cs="Arial"/>
                <w:noProof/>
                <w:webHidden/>
              </w:rPr>
              <w:fldChar w:fldCharType="end"/>
            </w:r>
          </w:hyperlink>
        </w:p>
        <w:p w14:paraId="094A0A65" w14:textId="395B86C6" w:rsidR="007B50EC" w:rsidRPr="007B50EC" w:rsidRDefault="007B50EC" w:rsidP="007B50EC">
          <w:pPr>
            <w:pStyle w:val="TDC1"/>
            <w:tabs>
              <w:tab w:val="right" w:leader="dot" w:pos="9350"/>
            </w:tabs>
            <w:spacing w:line="360" w:lineRule="auto"/>
            <w:rPr>
              <w:rFonts w:eastAsiaTheme="minorEastAsia" w:cs="Arial"/>
              <w:noProof/>
              <w:lang w:eastAsia="es-CR"/>
            </w:rPr>
          </w:pPr>
          <w:hyperlink w:anchor="_Toc191950059" w:history="1">
            <w:r w:rsidRPr="007B50EC">
              <w:rPr>
                <w:rStyle w:val="Hipervnculo"/>
                <w:rFonts w:cs="Arial"/>
                <w:noProof/>
                <w:color w:val="auto"/>
              </w:rPr>
              <w:t>Referencias</w:t>
            </w:r>
            <w:r w:rsidRPr="007B50EC">
              <w:rPr>
                <w:rFonts w:cs="Arial"/>
                <w:noProof/>
                <w:webHidden/>
              </w:rPr>
              <w:tab/>
            </w:r>
            <w:r w:rsidRPr="007B50EC">
              <w:rPr>
                <w:rFonts w:cs="Arial"/>
                <w:noProof/>
                <w:webHidden/>
              </w:rPr>
              <w:fldChar w:fldCharType="begin"/>
            </w:r>
            <w:r w:rsidRPr="007B50EC">
              <w:rPr>
                <w:rFonts w:cs="Arial"/>
                <w:noProof/>
                <w:webHidden/>
              </w:rPr>
              <w:instrText xml:space="preserve"> PAGEREF _Toc191950059 \h </w:instrText>
            </w:r>
            <w:r w:rsidRPr="007B50EC">
              <w:rPr>
                <w:rFonts w:cs="Arial"/>
                <w:noProof/>
                <w:webHidden/>
              </w:rPr>
            </w:r>
            <w:r w:rsidRPr="007B50EC">
              <w:rPr>
                <w:rFonts w:cs="Arial"/>
                <w:noProof/>
                <w:webHidden/>
              </w:rPr>
              <w:fldChar w:fldCharType="separate"/>
            </w:r>
            <w:r w:rsidR="00704792">
              <w:rPr>
                <w:rFonts w:cs="Arial"/>
                <w:noProof/>
                <w:webHidden/>
              </w:rPr>
              <w:t>6</w:t>
            </w:r>
            <w:r w:rsidRPr="007B50EC">
              <w:rPr>
                <w:rFonts w:cs="Arial"/>
                <w:noProof/>
                <w:webHidden/>
              </w:rPr>
              <w:fldChar w:fldCharType="end"/>
            </w:r>
          </w:hyperlink>
        </w:p>
        <w:p w14:paraId="6D4845F2" w14:textId="507AC8A0" w:rsidR="007B50EC" w:rsidRDefault="007B50EC" w:rsidP="007B50EC">
          <w:pPr>
            <w:spacing w:line="360" w:lineRule="auto"/>
          </w:pPr>
          <w:r w:rsidRPr="007B50EC">
            <w:rPr>
              <w:rFonts w:cs="Arial"/>
              <w:b/>
              <w:bCs/>
              <w:lang w:val="es-ES"/>
            </w:rPr>
            <w:fldChar w:fldCharType="end"/>
          </w:r>
        </w:p>
      </w:sdtContent>
    </w:sdt>
    <w:p w14:paraId="3AD5C1B4" w14:textId="77777777" w:rsidR="005715D0" w:rsidRPr="007B50EC" w:rsidRDefault="005715D0" w:rsidP="007B50EC">
      <w:pPr>
        <w:ind w:left="720" w:firstLine="0"/>
      </w:pPr>
    </w:p>
    <w:p w14:paraId="5E84E365" w14:textId="77777777" w:rsidR="005715D0" w:rsidRDefault="005715D0" w:rsidP="005715D0">
      <w:pPr>
        <w:pStyle w:val="Ttulo1"/>
        <w:ind w:firstLine="0"/>
        <w:jc w:val="left"/>
      </w:pPr>
    </w:p>
    <w:p w14:paraId="4B4A9273" w14:textId="77777777" w:rsidR="005715D0" w:rsidRPr="007B50EC" w:rsidRDefault="005715D0" w:rsidP="007B50EC">
      <w:pPr>
        <w:ind w:left="720" w:firstLine="0"/>
      </w:pPr>
    </w:p>
    <w:p w14:paraId="03843939" w14:textId="77777777" w:rsidR="005715D0" w:rsidRPr="007B50EC" w:rsidRDefault="005715D0" w:rsidP="007B50EC">
      <w:pPr>
        <w:ind w:left="720" w:firstLine="0"/>
      </w:pPr>
    </w:p>
    <w:p w14:paraId="02243565" w14:textId="77777777" w:rsidR="005715D0" w:rsidRPr="007B50EC" w:rsidRDefault="005715D0" w:rsidP="007B50EC">
      <w:pPr>
        <w:ind w:left="720" w:firstLine="0"/>
      </w:pPr>
    </w:p>
    <w:p w14:paraId="0AE19107" w14:textId="77777777" w:rsidR="005715D0" w:rsidRPr="007B50EC" w:rsidRDefault="005715D0" w:rsidP="007B50EC">
      <w:pPr>
        <w:ind w:left="720" w:firstLine="0"/>
      </w:pPr>
    </w:p>
    <w:p w14:paraId="3BBFA9F9" w14:textId="77777777" w:rsidR="005715D0" w:rsidRPr="007B50EC" w:rsidRDefault="005715D0" w:rsidP="007B50EC">
      <w:pPr>
        <w:ind w:left="720" w:firstLine="0"/>
      </w:pPr>
    </w:p>
    <w:p w14:paraId="6C448582" w14:textId="77777777" w:rsidR="005715D0" w:rsidRPr="007B50EC" w:rsidRDefault="005715D0" w:rsidP="007B50EC">
      <w:pPr>
        <w:ind w:left="720" w:firstLine="0"/>
      </w:pPr>
    </w:p>
    <w:p w14:paraId="16F09A56" w14:textId="77777777" w:rsidR="005715D0" w:rsidRPr="007B50EC" w:rsidRDefault="005715D0" w:rsidP="007B50EC">
      <w:pPr>
        <w:ind w:left="720" w:firstLine="0"/>
      </w:pPr>
    </w:p>
    <w:p w14:paraId="4D8BC766" w14:textId="77777777" w:rsidR="005715D0" w:rsidRPr="007B50EC" w:rsidRDefault="005715D0" w:rsidP="007B50EC">
      <w:pPr>
        <w:ind w:left="720" w:firstLine="0"/>
      </w:pPr>
    </w:p>
    <w:p w14:paraId="30069164" w14:textId="77777777" w:rsidR="005715D0" w:rsidRPr="007B50EC" w:rsidRDefault="005715D0" w:rsidP="007B50EC">
      <w:pPr>
        <w:ind w:left="720" w:firstLine="0"/>
      </w:pPr>
    </w:p>
    <w:p w14:paraId="4F0FA97F" w14:textId="77777777" w:rsidR="005715D0" w:rsidRPr="007B50EC" w:rsidRDefault="005715D0" w:rsidP="007B50EC">
      <w:pPr>
        <w:ind w:left="720" w:firstLine="0"/>
      </w:pPr>
    </w:p>
    <w:p w14:paraId="6C60096E" w14:textId="77777777" w:rsidR="005715D0" w:rsidRPr="007B50EC" w:rsidRDefault="005715D0" w:rsidP="007B50EC">
      <w:pPr>
        <w:ind w:left="720" w:firstLine="0"/>
      </w:pPr>
    </w:p>
    <w:p w14:paraId="0549931E" w14:textId="77777777" w:rsidR="005715D0" w:rsidRPr="007B50EC" w:rsidRDefault="005715D0" w:rsidP="007B50EC">
      <w:pPr>
        <w:ind w:left="720" w:firstLine="0"/>
      </w:pPr>
    </w:p>
    <w:p w14:paraId="63F6671A" w14:textId="2EDAB106" w:rsidR="005715D0" w:rsidRDefault="005715D0" w:rsidP="007B50EC">
      <w:pPr>
        <w:pStyle w:val="Ttulo1"/>
        <w:spacing w:line="360" w:lineRule="auto"/>
        <w:ind w:firstLine="0"/>
      </w:pPr>
      <w:bookmarkStart w:id="0" w:name="_Toc191950056"/>
      <w:r w:rsidRPr="005715D0">
        <w:lastRenderedPageBreak/>
        <w:t>El alineamiento de TI con el negocio para el éxito organizacional en la era digital</w:t>
      </w:r>
      <w:bookmarkEnd w:id="0"/>
    </w:p>
    <w:p w14:paraId="7E2C8EF7" w14:textId="77777777" w:rsidR="005715D0" w:rsidRPr="005715D0" w:rsidRDefault="005715D0" w:rsidP="007B50EC">
      <w:pPr>
        <w:spacing w:line="360" w:lineRule="auto"/>
        <w:jc w:val="both"/>
      </w:pPr>
      <w:r w:rsidRPr="005715D0">
        <w:t>En la era digital, el alineamiento entre la tecnología de la información (TI) y los objetivos estratégicos del negocio se ha convertido en un factor crucial para el éxito organizacional. En un contexto empresarial cada vez más competitivo, las empresas visionarias entienden que la TI no es meramente un área de soporte técnico, sino un aliado estratégico para impulsar la innovación, optimizar procesos y adaptarse con agilidad a los cambios del mercado. Este enfoque permite que las decisiones tecnológicas sean coherentes con las metas de la organización, garantizando así una mayor eficacia y eficiencia en el logro de sus objetivos.</w:t>
      </w:r>
    </w:p>
    <w:p w14:paraId="0E75A16E" w14:textId="77777777" w:rsidR="005715D0" w:rsidRPr="005715D0" w:rsidRDefault="005715D0" w:rsidP="007B50EC">
      <w:pPr>
        <w:spacing w:line="360" w:lineRule="auto"/>
        <w:jc w:val="both"/>
      </w:pPr>
      <w:r w:rsidRPr="005715D0">
        <w:t>Para que esta integración sea efectiva, es indispensable una cultura de colaboración entre los responsables de negocio y los de TI. Aspectos como la comunicación fluida, la comprensión mutua de procesos y tecnologías, el diseño de una arquitectura corporativa común y el respeto a los marcos de gobernanza establecidos son elementos esenciales. Además, evaluar constantemente los resultados y fomentar un ambiente de trabajo colaborativo asegura que los clientes, tanto internos como externos, perciban un valor tangible en los esfuerzos de la organización. Este ensayo explorará cómo el alineamiento entre TI y negocio potencia el desarrollo integral y sostenible de las empresas en la era digital.</w:t>
      </w:r>
    </w:p>
    <w:p w14:paraId="517306C7" w14:textId="77777777" w:rsidR="00E81651" w:rsidRPr="00E81651" w:rsidRDefault="00E81651" w:rsidP="007B50EC">
      <w:pPr>
        <w:spacing w:line="360" w:lineRule="auto"/>
        <w:jc w:val="both"/>
      </w:pPr>
      <w:r w:rsidRPr="00E81651">
        <w:t>El alineamiento entre las Tecnologías de la Información (TI) y los objetivos empresariales en la era digital representa un pilar fundamental para el éxito organizacional. En las empresas donde no existe una implantación previa de tecnologías de información, los procesos de digitalización suelen mostrar resultados inmediatos en la productividad. Esto evidencia cómo las TIC actúan como catalizadores de cambio dentro de las organizaciones, permitiendo optimizar recursos y tiempos de respuesta ("Cuando no existe implantación previa de TIC, el proceso se acelera para aflorar mejoras de productividad con rapidez"(García-Canal et al., 2008, p.39)). Sin embargo, para garantizar resultados sostenibles, se requiere un enfoque estratégico en la integración de estas tecnologías.</w:t>
      </w:r>
    </w:p>
    <w:p w14:paraId="44D7D2CA" w14:textId="65D0ECE7" w:rsidR="00E81651" w:rsidRPr="00E81651" w:rsidRDefault="00E81651" w:rsidP="007B50EC">
      <w:pPr>
        <w:spacing w:line="360" w:lineRule="auto"/>
        <w:jc w:val="both"/>
      </w:pPr>
      <w:r w:rsidRPr="00E81651">
        <w:t>Además de su impacto en la productividad, las TIC tienen un papel transformador en la inclusión social y la mejora de la calidad de vida. Las aplicaciones móviles innovadoras han demostrado ser herramientas clave para llevar servicios y oportunidades a comunidades marginadas o de difícil acceso. Este enfoque humanista de las tecnologías no solo fortalece el tejido social, sino que también fomenta un impacto positivo más allá de las fronteras corporativas "las TIC a través de innovadoras aplicaciones en dispositivos móviles ayudan a lograr el objetivo de mayor inclusión social y mejoramiento de la calidad vida de miles de personas"(</w:t>
      </w:r>
      <w:proofErr w:type="spellStart"/>
      <w:r w:rsidRPr="00E81651">
        <w:t>Naser</w:t>
      </w:r>
      <w:proofErr w:type="spellEnd"/>
      <w:r w:rsidRPr="00E81651">
        <w:t xml:space="preserve"> &amp; </w:t>
      </w:r>
      <w:r w:rsidRPr="00E81651">
        <w:lastRenderedPageBreak/>
        <w:t>Concha, 2014, p.37). Este aspecto social, vinculado con la estrategia empresarial, subraya la importancia de un alineamiento sólido y sostenible.</w:t>
      </w:r>
    </w:p>
    <w:p w14:paraId="26BE68B3" w14:textId="230E6110" w:rsidR="00E81651" w:rsidRPr="00E81651" w:rsidRDefault="00E81651" w:rsidP="007B50EC">
      <w:pPr>
        <w:spacing w:line="360" w:lineRule="auto"/>
        <w:jc w:val="both"/>
      </w:pPr>
      <w:r w:rsidRPr="00E81651">
        <w:t>El éxito o el fracaso de una organización en el panorama competitivo actual está profundamente influenciado por la capacidad de alinear los esfuerzos de TI con los objetivos estratégicos. La falta de integración entre ambas áreas puede resultar en pérdidas significativas tanto en términos de eficiencia como de competitividad. Por ello, la alineación organizacional en TI debe ser priorizada como un componente esencial dentro de la planificación y ejecución empresarial "La alineación organizacional en TI es un componente crucial que puede determinar el éxito o el fracaso de una empresa en el competitivo paisaje actual."(Vargas, 2023, párr.03</w:t>
      </w:r>
      <w:r>
        <w:t>)</w:t>
      </w:r>
      <w:r w:rsidRPr="00E81651">
        <w:t>. Esta premisa destaca la necesidad de implementar marcos de trabajo flexibles y colaborativos.</w:t>
      </w:r>
    </w:p>
    <w:p w14:paraId="71C36248" w14:textId="77777777" w:rsidR="00E81651" w:rsidRPr="00E81651" w:rsidRDefault="00E81651" w:rsidP="007B50EC">
      <w:pPr>
        <w:spacing w:line="360" w:lineRule="auto"/>
        <w:jc w:val="both"/>
      </w:pPr>
      <w:r w:rsidRPr="00E81651">
        <w:t>La adopción estratégica de las TIC trasciende la simple implementación de herramientas tecnológicas. Al comprender su papel como impulsores de la competitividad, las organizaciones que integran las TIC de manera estratégica logran no solo adaptarse a las tendencias del mercado, sino también innovar y liderar en sus respectivos sectores ("Su adopción estratégica trasciende la mera implementación tecnológica y se convierte en un factor determinante para la competitividad y el éxito de una organización."(Ramírez, 2024, párr.08)). Este enfoque innovador fortalece la relación entre TI y negocio, consolidando su impacto estratégico.</w:t>
      </w:r>
    </w:p>
    <w:p w14:paraId="6F9E5A64" w14:textId="11FAC7B9" w:rsidR="00E81651" w:rsidRPr="00E81651" w:rsidRDefault="00E81651" w:rsidP="007B50EC">
      <w:pPr>
        <w:spacing w:line="360" w:lineRule="auto"/>
        <w:jc w:val="both"/>
      </w:pPr>
      <w:r w:rsidRPr="00E81651">
        <w:t xml:space="preserve">El procesamiento de grandes volúmenes de datos y la creciente informatización de procesos productivos son otros aspectos clave que reflejan el impacto de las TIC en las empresas modernas. No obstante, estos avances también han generado retos, como la reducción de puestos de trabajo debido a la falta de capacitación en tecnologías emergentes. </w:t>
      </w:r>
    </w:p>
    <w:p w14:paraId="4B5E0177" w14:textId="351421B8" w:rsidR="00E81651" w:rsidRPr="00E81651" w:rsidRDefault="00E81651" w:rsidP="007B50EC">
      <w:pPr>
        <w:spacing w:line="360" w:lineRule="auto"/>
        <w:jc w:val="both"/>
      </w:pPr>
      <w:r w:rsidRPr="00E81651">
        <w:t>La integración efectiva de TI y negocio también requiere una comunicación fluida entre todos los niveles de la organización. El establecimiento de un lenguaje común y una comprensión mutua entre las partes interesadas son esenciales para evitar barreras que limiten el éxito de esta alineación. Asimismo, la implementación de políticas de gobernanza robustas asegura que las decisiones relacionadas con las TIC estén alineadas con los objetivos estratégicos de la organización, fortaleciendo así el compromiso y la responsabilidad colectiva.</w:t>
      </w:r>
      <w:r w:rsidR="007B50EC">
        <w:t xml:space="preserve"> </w:t>
      </w:r>
      <w:r w:rsidRPr="00E81651">
        <w:t>Finalmente, la alineación estratégica entre TI y negocio se presenta como un motor de transformación integral para las organizaciones en la era digital. Este proceso no solo potencia el desempeño operativo, sino que también promueve una cultura organizacional orientada a la innovación y la sostenibilidad. El análisis constante y el aprendizaje continuo son herramientas indispensables para garantizar que esta sinergia se mantenga como un pilar central del éxito organizacional.</w:t>
      </w:r>
    </w:p>
    <w:p w14:paraId="6F4FE70B" w14:textId="045BC7CB" w:rsidR="007B50EC" w:rsidRDefault="007B50EC" w:rsidP="007B50EC">
      <w:pPr>
        <w:pStyle w:val="Ttulo2"/>
      </w:pPr>
      <w:bookmarkStart w:id="1" w:name="_Toc191950057"/>
      <w:r>
        <w:lastRenderedPageBreak/>
        <w:t>Recomendaciones</w:t>
      </w:r>
      <w:bookmarkEnd w:id="1"/>
    </w:p>
    <w:p w14:paraId="00E7304F" w14:textId="2B734D29" w:rsidR="007B50EC" w:rsidRPr="007B50EC" w:rsidRDefault="007B50EC" w:rsidP="007B50EC">
      <w:pPr>
        <w:pStyle w:val="Prrafodelista"/>
        <w:numPr>
          <w:ilvl w:val="0"/>
          <w:numId w:val="17"/>
        </w:numPr>
        <w:spacing w:line="360" w:lineRule="auto"/>
        <w:jc w:val="both"/>
        <w:rPr>
          <w:rFonts w:ascii="Arial" w:hAnsi="Arial" w:cs="Arial"/>
        </w:rPr>
      </w:pPr>
      <w:r w:rsidRPr="007B50EC">
        <w:rPr>
          <w:rFonts w:ascii="Arial" w:hAnsi="Arial" w:cs="Arial"/>
          <w:b/>
          <w:bCs/>
        </w:rPr>
        <w:t>Implementar un modelo de gobernanza integrado</w:t>
      </w:r>
      <w:r w:rsidRPr="007B50EC">
        <w:rPr>
          <w:rFonts w:ascii="Arial" w:hAnsi="Arial" w:cs="Arial"/>
        </w:rPr>
        <w:t xml:space="preserve"> Para llevar a cabo un alineamiento efectivo, se recomienda establecer un modelo de gobernanza que permita la comunicación y cooperación entre las áreas de TI y negocio. Esto implica crear un comité mixto conformado por líderes de ambas áreas, cuya función será evaluar las necesidades tecnológicas en relación con los objetivos estratégicos de la organización. Este comité debe reunirse periódicamente para revisar avances, identificar áreas de mejora y definir prioridades a corto y largo plazo. Asimismo, la gobernanza debe incluir políticas claras y procesos definidos que fomenten la transparencia en la toma de decisiones.</w:t>
      </w:r>
    </w:p>
    <w:p w14:paraId="4034F681" w14:textId="0163F484" w:rsidR="007B50EC" w:rsidRPr="007B50EC" w:rsidRDefault="007B50EC" w:rsidP="007B50EC">
      <w:pPr>
        <w:pStyle w:val="Prrafodelista"/>
        <w:numPr>
          <w:ilvl w:val="0"/>
          <w:numId w:val="17"/>
        </w:numPr>
        <w:spacing w:line="360" w:lineRule="auto"/>
        <w:jc w:val="both"/>
        <w:rPr>
          <w:rFonts w:ascii="Arial" w:hAnsi="Arial" w:cs="Arial"/>
        </w:rPr>
      </w:pPr>
      <w:r w:rsidRPr="007B50EC">
        <w:rPr>
          <w:rFonts w:ascii="Arial" w:hAnsi="Arial" w:cs="Arial"/>
          <w:b/>
          <w:bCs/>
        </w:rPr>
        <w:t>Desarrollar competencias duales entre los equipos</w:t>
      </w:r>
      <w:r w:rsidRPr="007B50EC">
        <w:rPr>
          <w:rFonts w:ascii="Arial" w:hAnsi="Arial" w:cs="Arial"/>
        </w:rPr>
        <w:t xml:space="preserve"> Una acción fundamental es fomentar la formación cruzada, de manera que los equipos de TI comprendan los procesos empresariales, y los equipos de negocio adquieran conocimientos básicos sobre tecnologías relevantes. Esto se puede lograr a través de programas de capacitación internos, talleres colaborativos y la promoción de proyectos conjuntos donde ambos equipos trabajen en objetivos compartidos. Este enfoque no solo aumenta la eficiencia operativa, sino que también reduce la resistencia al cambio al crear una cultura organizacional basada en la comprensión y el respeto mutuo.</w:t>
      </w:r>
    </w:p>
    <w:p w14:paraId="4AE1885B" w14:textId="72A81E87" w:rsidR="007B50EC" w:rsidRPr="007B50EC" w:rsidRDefault="007B50EC" w:rsidP="007B50EC">
      <w:pPr>
        <w:pStyle w:val="Prrafodelista"/>
        <w:numPr>
          <w:ilvl w:val="0"/>
          <w:numId w:val="17"/>
        </w:numPr>
        <w:spacing w:line="360" w:lineRule="auto"/>
        <w:jc w:val="both"/>
        <w:rPr>
          <w:rFonts w:ascii="Arial" w:hAnsi="Arial" w:cs="Arial"/>
        </w:rPr>
      </w:pPr>
      <w:r w:rsidRPr="007B50EC">
        <w:rPr>
          <w:rFonts w:ascii="Arial" w:hAnsi="Arial" w:cs="Arial"/>
          <w:b/>
          <w:bCs/>
        </w:rPr>
        <w:t>Establecer indicadores clave de desempeño (</w:t>
      </w:r>
      <w:proofErr w:type="spellStart"/>
      <w:r w:rsidRPr="007B50EC">
        <w:rPr>
          <w:rFonts w:ascii="Arial" w:hAnsi="Arial" w:cs="Arial"/>
          <w:b/>
          <w:bCs/>
        </w:rPr>
        <w:t>KPIs</w:t>
      </w:r>
      <w:proofErr w:type="spellEnd"/>
      <w:r w:rsidRPr="007B50EC">
        <w:rPr>
          <w:rFonts w:ascii="Arial" w:hAnsi="Arial" w:cs="Arial"/>
          <w:b/>
          <w:bCs/>
        </w:rPr>
        <w:t>) compartidos</w:t>
      </w:r>
      <w:r w:rsidRPr="007B50EC">
        <w:rPr>
          <w:rFonts w:ascii="Arial" w:hAnsi="Arial" w:cs="Arial"/>
        </w:rPr>
        <w:t xml:space="preserve"> Finalmente, se recomienda definir métricas que reflejen tanto el desempeño del área de TI como su impacto en los objetivos del negocio. Estos indicadores clave de desempeño (</w:t>
      </w:r>
      <w:proofErr w:type="spellStart"/>
      <w:r w:rsidRPr="007B50EC">
        <w:rPr>
          <w:rFonts w:ascii="Arial" w:hAnsi="Arial" w:cs="Arial"/>
        </w:rPr>
        <w:t>KPIs</w:t>
      </w:r>
      <w:proofErr w:type="spellEnd"/>
      <w:r w:rsidRPr="007B50EC">
        <w:rPr>
          <w:rFonts w:ascii="Arial" w:hAnsi="Arial" w:cs="Arial"/>
        </w:rPr>
        <w:t>) deben ser específicos, medibles y alineados con las metas estratégicas de la organización. Por ejemplo, se pueden incluir métricas relacionadas con la optimización de procesos, la satisfacción del cliente y la velocidad de implementación de proyectos tecnológicos. Los resultados deben ser monitoreados regularmente para identificar avances y ajustar estrategias en caso necesario, promoviendo así una mejora continua.</w:t>
      </w:r>
    </w:p>
    <w:p w14:paraId="4938FA07" w14:textId="77777777" w:rsidR="007B50EC" w:rsidRPr="007B50EC" w:rsidRDefault="007B50EC" w:rsidP="007B50EC">
      <w:pPr>
        <w:spacing w:line="360" w:lineRule="auto"/>
      </w:pPr>
      <w:r w:rsidRPr="007B50EC">
        <w:t>Cada una de estas recomendaciones no solo contribuye a un mejor alineamiento entre TI y negocio, sino que también fortalece el rol estratégico de la tecnología como un motor esencial para el éxito organizacional en la era digital. La implementación de estas acciones asegura una sinergia sostenible y eficiente en el entorno empresarial.</w:t>
      </w:r>
    </w:p>
    <w:p w14:paraId="16C5FB30" w14:textId="77777777" w:rsidR="005715D0" w:rsidRPr="005715D0" w:rsidRDefault="005715D0" w:rsidP="007B50EC">
      <w:pPr>
        <w:spacing w:line="360" w:lineRule="auto"/>
      </w:pPr>
    </w:p>
    <w:p w14:paraId="54DCABE6" w14:textId="46CB3FBB" w:rsidR="007B50EC" w:rsidRDefault="007B50EC" w:rsidP="007B50EC">
      <w:pPr>
        <w:pStyle w:val="Ttulo1"/>
      </w:pPr>
      <w:bookmarkStart w:id="2" w:name="_Toc191950058"/>
      <w:r>
        <w:lastRenderedPageBreak/>
        <w:t>Plan de acción</w:t>
      </w:r>
      <w:bookmarkEnd w:id="2"/>
      <w:r>
        <w:t xml:space="preserve"> </w:t>
      </w:r>
    </w:p>
    <w:p w14:paraId="4037D89B" w14:textId="04EED966" w:rsidR="007B50EC" w:rsidRPr="007B50EC" w:rsidRDefault="007B50EC" w:rsidP="007B50EC">
      <w:pPr>
        <w:spacing w:line="360" w:lineRule="auto"/>
      </w:pPr>
      <w:r>
        <w:rPr>
          <w:b/>
          <w:bCs/>
        </w:rPr>
        <w:t xml:space="preserve">Es </w:t>
      </w:r>
      <w:r w:rsidRPr="007B50EC">
        <w:rPr>
          <w:b/>
          <w:bCs/>
        </w:rPr>
        <w:t>necesario establecer los siguientes supuestos, los cuales proporcionan el contexto necesario para garantizar su implementación efectiva y alineada con los objetivos del ensayo:</w:t>
      </w:r>
    </w:p>
    <w:p w14:paraId="397D942A" w14:textId="77777777" w:rsidR="007B50EC" w:rsidRPr="007B50EC" w:rsidRDefault="007B50EC" w:rsidP="007B50EC">
      <w:pPr>
        <w:numPr>
          <w:ilvl w:val="0"/>
          <w:numId w:val="18"/>
        </w:numPr>
        <w:spacing w:line="360" w:lineRule="auto"/>
        <w:jc w:val="both"/>
      </w:pPr>
      <w:r w:rsidRPr="007B50EC">
        <w:rPr>
          <w:b/>
          <w:bCs/>
        </w:rPr>
        <w:t>Alineamiento estratégico como prioridad organizacional</w:t>
      </w:r>
      <w:r w:rsidRPr="007B50EC">
        <w:t xml:space="preserve"> Se asume que la organización reconoce la importancia de integrar la tecnología de la información (TI) como un componente estratégico en lugar de un mero soporte técnico. Este enfoque implica que las decisiones relacionadas con las TIC estarán orientadas hacia el cumplimiento de los objetivos del negocio, asegurando la mejora de procesos, la innovación y la competitividad empresarial.</w:t>
      </w:r>
    </w:p>
    <w:p w14:paraId="21A9F1A4" w14:textId="77777777" w:rsidR="007B50EC" w:rsidRPr="007B50EC" w:rsidRDefault="007B50EC" w:rsidP="007B50EC">
      <w:pPr>
        <w:numPr>
          <w:ilvl w:val="0"/>
          <w:numId w:val="18"/>
        </w:numPr>
        <w:spacing w:line="360" w:lineRule="auto"/>
        <w:jc w:val="both"/>
      </w:pPr>
      <w:r w:rsidRPr="007B50EC">
        <w:rPr>
          <w:b/>
          <w:bCs/>
        </w:rPr>
        <w:t>Compromiso de colaboración entre las áreas de TI y negocio</w:t>
      </w:r>
      <w:r w:rsidRPr="007B50EC">
        <w:t xml:space="preserve"> Para el éxito del plan de acción, se supone que existe un compromiso explícito y activo entre los líderes y equipos de ambas áreas para trabajar en conjunto. Este compromiso se traduce en esfuerzos coordinados, comunicación constante y una actitud de cooperación para superar las resistencias al cambio y facilitar la adaptación tecnológica.</w:t>
      </w:r>
    </w:p>
    <w:p w14:paraId="0FA7E704" w14:textId="77777777" w:rsidR="007B50EC" w:rsidRPr="007B50EC" w:rsidRDefault="007B50EC" w:rsidP="007B50EC">
      <w:pPr>
        <w:numPr>
          <w:ilvl w:val="0"/>
          <w:numId w:val="18"/>
        </w:numPr>
        <w:spacing w:line="360" w:lineRule="auto"/>
        <w:jc w:val="both"/>
      </w:pPr>
      <w:r w:rsidRPr="007B50EC">
        <w:rPr>
          <w:b/>
          <w:bCs/>
        </w:rPr>
        <w:t>Disponibilidad de recursos financieros y humanos</w:t>
      </w:r>
      <w:r w:rsidRPr="007B50EC">
        <w:t xml:space="preserve"> Se asume que la organización cuenta con los recursos necesarios, tanto financieros como humanos, para implementar los programas de capacitación, formación cruzada y las tecnologías que se requieran para cumplir con las metas del plan. Esto incluye la disposición de herramientas tecnológicas, personal capacitado y tiempo suficiente para garantizar una ejecución óptima.</w:t>
      </w:r>
    </w:p>
    <w:p w14:paraId="37562E0A" w14:textId="77777777" w:rsidR="007B50EC" w:rsidRPr="007B50EC" w:rsidRDefault="007B50EC" w:rsidP="007B50EC">
      <w:pPr>
        <w:numPr>
          <w:ilvl w:val="0"/>
          <w:numId w:val="18"/>
        </w:numPr>
        <w:spacing w:line="360" w:lineRule="auto"/>
        <w:jc w:val="both"/>
      </w:pPr>
      <w:r w:rsidRPr="007B50EC">
        <w:rPr>
          <w:b/>
          <w:bCs/>
        </w:rPr>
        <w:t>Presencia de un marco de gobernanza preexistente</w:t>
      </w:r>
      <w:r w:rsidRPr="007B50EC">
        <w:t xml:space="preserve"> Se establece como supuesto la existencia de un marco básico de gobernanza, que facilite la creación de políticas, la supervisión de actividades y la definición de responsabilidades entre las áreas involucradas. Este marco será el punto de partida para diseñar un modelo de gobernanza integrado que fomente la alineación estratégica.</w:t>
      </w:r>
    </w:p>
    <w:p w14:paraId="00310835" w14:textId="77777777" w:rsidR="007B50EC" w:rsidRPr="007B50EC" w:rsidRDefault="007B50EC" w:rsidP="007B50EC">
      <w:pPr>
        <w:numPr>
          <w:ilvl w:val="0"/>
          <w:numId w:val="18"/>
        </w:numPr>
        <w:spacing w:line="360" w:lineRule="auto"/>
        <w:jc w:val="both"/>
      </w:pPr>
      <w:r w:rsidRPr="007B50EC">
        <w:rPr>
          <w:b/>
          <w:bCs/>
        </w:rPr>
        <w:t>Disponibilidad de datos para la medición del desempeño</w:t>
      </w:r>
      <w:r w:rsidRPr="007B50EC">
        <w:t xml:space="preserve"> Finalmente, se asume que la organización dispone de sistemas de gestión y análisis de datos que permitan evaluar de manera efectiva los indicadores clave de desempeño (</w:t>
      </w:r>
      <w:proofErr w:type="spellStart"/>
      <w:r w:rsidRPr="007B50EC">
        <w:t>KPIs</w:t>
      </w:r>
      <w:proofErr w:type="spellEnd"/>
      <w:r w:rsidRPr="007B50EC">
        <w:t>). Estos datos serán fundamentales para monitorear los avances y realizar ajustes en el plan de acción según sea necesario.</w:t>
      </w:r>
    </w:p>
    <w:p w14:paraId="071517B4" w14:textId="08159B50" w:rsidR="002216E7" w:rsidRDefault="007B50EC" w:rsidP="007B50EC">
      <w:pPr>
        <w:pStyle w:val="Ttulo1"/>
      </w:pPr>
      <w:bookmarkStart w:id="3" w:name="_Toc191950059"/>
      <w:r>
        <w:lastRenderedPageBreak/>
        <w:t>Referencias</w:t>
      </w:r>
      <w:bookmarkEnd w:id="3"/>
    </w:p>
    <w:p w14:paraId="588B9E72" w14:textId="77777777" w:rsidR="007B50EC" w:rsidRPr="007B50EC" w:rsidRDefault="007B50EC" w:rsidP="007B50EC">
      <w:pPr>
        <w:spacing w:line="360" w:lineRule="auto"/>
        <w:ind w:left="720" w:hanging="720"/>
      </w:pPr>
      <w:r w:rsidRPr="007B50EC">
        <w:t xml:space="preserve">García-Canal, E., Rialp-Criado, A., &amp; Rialp-Criado, J. (2008). Unificación de las </w:t>
      </w:r>
      <w:proofErr w:type="spellStart"/>
      <w:r w:rsidRPr="007B50EC">
        <w:t>tIc</w:t>
      </w:r>
      <w:proofErr w:type="spellEnd"/>
      <w:r w:rsidRPr="007B50EC">
        <w:t xml:space="preserve"> y procesos de integración en las fusiones y adquisiciones horizontales. </w:t>
      </w:r>
      <w:r w:rsidRPr="007B50EC">
        <w:rPr>
          <w:i/>
          <w:iCs/>
        </w:rPr>
        <w:t xml:space="preserve">Universia Business </w:t>
      </w:r>
      <w:proofErr w:type="spellStart"/>
      <w:r w:rsidRPr="007B50EC">
        <w:rPr>
          <w:i/>
          <w:iCs/>
        </w:rPr>
        <w:t>Review</w:t>
      </w:r>
      <w:proofErr w:type="spellEnd"/>
      <w:r w:rsidRPr="007B50EC">
        <w:t>.</w:t>
      </w:r>
    </w:p>
    <w:p w14:paraId="7F4A70AC" w14:textId="77777777" w:rsidR="007B50EC" w:rsidRPr="007B50EC" w:rsidRDefault="007B50EC" w:rsidP="007B50EC">
      <w:pPr>
        <w:spacing w:line="360" w:lineRule="auto"/>
        <w:ind w:left="720" w:hanging="720"/>
      </w:pPr>
      <w:proofErr w:type="spellStart"/>
      <w:r w:rsidRPr="007B50EC">
        <w:t>Naser</w:t>
      </w:r>
      <w:proofErr w:type="spellEnd"/>
      <w:r w:rsidRPr="007B50EC">
        <w:t>, A., &amp; Concha, G. (2014). Rol de las TIC en la gestión pública y en la planificación para un desarrollo sostenible en América Latina y el Caribe. </w:t>
      </w:r>
      <w:r w:rsidRPr="007B50EC">
        <w:rPr>
          <w:i/>
          <w:iCs/>
        </w:rPr>
        <w:t>CEPAL - Serie Gestión Pública</w:t>
      </w:r>
      <w:r w:rsidRPr="007B50EC">
        <w:t>, (79).</w:t>
      </w:r>
    </w:p>
    <w:p w14:paraId="65D180F3" w14:textId="77777777" w:rsidR="007B50EC" w:rsidRPr="007B50EC" w:rsidRDefault="007B50EC" w:rsidP="007B50EC">
      <w:pPr>
        <w:spacing w:line="360" w:lineRule="auto"/>
        <w:ind w:left="720" w:hanging="720"/>
      </w:pPr>
      <w:r w:rsidRPr="007B50EC">
        <w:t xml:space="preserve">Pacheco Barrera, D. D., &amp; Rodríguez </w:t>
      </w:r>
      <w:proofErr w:type="spellStart"/>
      <w:r w:rsidRPr="007B50EC">
        <w:t>Ollarves</w:t>
      </w:r>
      <w:proofErr w:type="spellEnd"/>
      <w:r w:rsidRPr="007B50EC">
        <w:t xml:space="preserve">, R. J. (2020). </w:t>
      </w:r>
      <w:proofErr w:type="gramStart"/>
      <w:r w:rsidRPr="007B50EC">
        <w:t>Las tic</w:t>
      </w:r>
      <w:proofErr w:type="gramEnd"/>
      <w:r w:rsidRPr="007B50EC">
        <w:t xml:space="preserve"> como estrategia competitiva en la gestión empresarial. </w:t>
      </w:r>
      <w:r w:rsidRPr="007B50EC">
        <w:rPr>
          <w:i/>
          <w:iCs/>
        </w:rPr>
        <w:t>Revista Enfoques</w:t>
      </w:r>
      <w:r w:rsidRPr="007B50EC">
        <w:t>, </w:t>
      </w:r>
      <w:r w:rsidRPr="007B50EC">
        <w:rPr>
          <w:i/>
          <w:iCs/>
        </w:rPr>
        <w:t>3</w:t>
      </w:r>
      <w:r w:rsidRPr="007B50EC">
        <w:t>(12), 286–298. </w:t>
      </w:r>
      <w:hyperlink r:id="rId10" w:tgtFrame="_blank" w:history="1">
        <w:r w:rsidRPr="007B50EC">
          <w:rPr>
            <w:rStyle w:val="Hipervnculo"/>
          </w:rPr>
          <w:t>https://doi.org/10.33996/revistaenfoques.v3i12.72</w:t>
        </w:r>
      </w:hyperlink>
    </w:p>
    <w:p w14:paraId="314CDDE5" w14:textId="77777777" w:rsidR="007B50EC" w:rsidRPr="007B50EC" w:rsidRDefault="007B50EC" w:rsidP="007B50EC">
      <w:pPr>
        <w:spacing w:line="360" w:lineRule="auto"/>
        <w:ind w:left="720" w:hanging="720"/>
      </w:pPr>
      <w:r w:rsidRPr="007B50EC">
        <w:t>Ramírez, K. (2024). </w:t>
      </w:r>
      <w:r w:rsidRPr="007B50EC">
        <w:rPr>
          <w:i/>
          <w:iCs/>
        </w:rPr>
        <w:t>El Uso de las TIC como Estrategia Competitiva en la Gestión Empresarial</w:t>
      </w:r>
      <w:r w:rsidRPr="007B50EC">
        <w:t>. Maya: Software a tu medida. </w:t>
      </w:r>
      <w:hyperlink r:id="rId11" w:anchor=":~:text=Las%20Tecnolog%C3%ADas%20de%20la%20Informaci%C3%B3n%20y%20la%20Comunicaci%C3%B3n,posici%C3%B3n%20competitiva,%20identificar%20oportunidades%20y%20anticipar%20desaf%C3%ADos.%20" w:tgtFrame="_blank" w:history="1">
        <w:r w:rsidRPr="007B50EC">
          <w:rPr>
            <w:rStyle w:val="Hipervnculo"/>
          </w:rPr>
          <w:t>https://innovacionmaya.mx/article-el-uso-de-las-tic-como-estrategia-competitiva-en-la-gestion-empresarial.php#:~:text=Las%20Tecnologías%20de%20la%20Información%20y%20la%20Comunicación,posición%20competitiva,%20identificar%20oportunidades%20y%20anticipar%20desafíos.%20</w:t>
        </w:r>
      </w:hyperlink>
    </w:p>
    <w:p w14:paraId="6CE95814" w14:textId="77777777" w:rsidR="007B50EC" w:rsidRPr="007B50EC" w:rsidRDefault="007B50EC" w:rsidP="007B50EC">
      <w:pPr>
        <w:spacing w:line="360" w:lineRule="auto"/>
        <w:ind w:left="720" w:hanging="720"/>
      </w:pPr>
      <w:r w:rsidRPr="007B50EC">
        <w:t>Tecnologías Información Gobierno Electrónico. (2015, 17 de noviembre). </w:t>
      </w:r>
      <w:r w:rsidRPr="007B50EC">
        <w:rPr>
          <w:i/>
          <w:iCs/>
        </w:rPr>
        <w:t xml:space="preserve">GEL plan estratégico de tecnologías de </w:t>
      </w:r>
      <w:proofErr w:type="spellStart"/>
      <w:r w:rsidRPr="007B50EC">
        <w:rPr>
          <w:i/>
          <w:iCs/>
        </w:rPr>
        <w:t>informatica</w:t>
      </w:r>
      <w:proofErr w:type="spellEnd"/>
      <w:r w:rsidRPr="007B50EC">
        <w:t> [Video]. YouTube. </w:t>
      </w:r>
      <w:hyperlink r:id="rId12" w:tgtFrame="_blank" w:history="1">
        <w:r w:rsidRPr="007B50EC">
          <w:rPr>
            <w:rStyle w:val="Hipervnculo"/>
          </w:rPr>
          <w:t>https://www.youtube.com/watch?v=Tnedti6z-L0</w:t>
        </w:r>
      </w:hyperlink>
    </w:p>
    <w:p w14:paraId="4EE4F8D1" w14:textId="77777777" w:rsidR="007B50EC" w:rsidRPr="007B50EC" w:rsidRDefault="007B50EC" w:rsidP="007B50EC">
      <w:pPr>
        <w:spacing w:line="360" w:lineRule="auto"/>
        <w:ind w:left="720" w:hanging="720"/>
      </w:pPr>
      <w:r w:rsidRPr="007B50EC">
        <w:t>Teoría de Restricciones. (2011, 23 de febrero). </w:t>
      </w:r>
      <w:r w:rsidRPr="007B50EC">
        <w:rPr>
          <w:i/>
          <w:iCs/>
        </w:rPr>
        <w:t>¿Las personas se resisten al cambio?</w:t>
      </w:r>
      <w:r w:rsidRPr="007B50EC">
        <w:t> [Video]. YouTube. </w:t>
      </w:r>
      <w:hyperlink r:id="rId13" w:tgtFrame="_blank" w:history="1">
        <w:r w:rsidRPr="007B50EC">
          <w:rPr>
            <w:rStyle w:val="Hipervnculo"/>
          </w:rPr>
          <w:t>https://www.youtube.com/watch?v=x0iRj8_9KhA</w:t>
        </w:r>
      </w:hyperlink>
    </w:p>
    <w:p w14:paraId="412A4603" w14:textId="77777777" w:rsidR="007B50EC" w:rsidRPr="007B50EC" w:rsidRDefault="007B50EC" w:rsidP="007B50EC">
      <w:pPr>
        <w:spacing w:line="360" w:lineRule="auto"/>
        <w:ind w:left="720" w:hanging="720"/>
      </w:pPr>
      <w:r w:rsidRPr="007B50EC">
        <w:t>Vargas, S. (2023). </w:t>
      </w:r>
      <w:r w:rsidRPr="007B50EC">
        <w:rPr>
          <w:i/>
          <w:iCs/>
        </w:rPr>
        <w:t>Estrategias de alineación organizacional en TI: Qué son</w:t>
      </w:r>
      <w:r w:rsidRPr="007B50EC">
        <w:t>. TecnoRed.top. </w:t>
      </w:r>
      <w:hyperlink r:id="rId14" w:tgtFrame="_blank" w:history="1">
        <w:r w:rsidRPr="007B50EC">
          <w:rPr>
            <w:rStyle w:val="Hipervnculo"/>
          </w:rPr>
          <w:t>https://tecnored.top/estrategias-de-alineacion-organizacional-en-ti-que-son/</w:t>
        </w:r>
      </w:hyperlink>
    </w:p>
    <w:p w14:paraId="0DCCC400" w14:textId="77777777" w:rsidR="007B50EC" w:rsidRPr="007B50EC" w:rsidRDefault="007B50EC" w:rsidP="007B50EC">
      <w:pPr>
        <w:spacing w:line="360" w:lineRule="auto"/>
        <w:ind w:left="720" w:hanging="720"/>
      </w:pPr>
      <w:r w:rsidRPr="007B50EC">
        <w:t xml:space="preserve">V. Castro, C., &amp; </w:t>
      </w:r>
      <w:proofErr w:type="spellStart"/>
      <w:r w:rsidRPr="007B50EC">
        <w:t>Gramicci</w:t>
      </w:r>
      <w:proofErr w:type="spellEnd"/>
      <w:r w:rsidRPr="007B50EC">
        <w:t>, A. (2013). </w:t>
      </w:r>
      <w:proofErr w:type="spellStart"/>
      <w:r w:rsidRPr="007B50EC">
        <w:rPr>
          <w:i/>
          <w:iCs/>
        </w:rPr>
        <w:t>Metolodogía</w:t>
      </w:r>
      <w:proofErr w:type="spellEnd"/>
      <w:r w:rsidRPr="007B50EC">
        <w:rPr>
          <w:i/>
          <w:iCs/>
        </w:rPr>
        <w:t xml:space="preserve"> de gestión de proyectos TIC: Administración de recursos de información</w:t>
      </w:r>
      <w:r w:rsidRPr="007B50EC">
        <w:t>. La Plata: EDULP.</w:t>
      </w:r>
    </w:p>
    <w:p w14:paraId="3FF409E1" w14:textId="77777777" w:rsidR="007B50EC" w:rsidRPr="007B50EC" w:rsidRDefault="007B50EC" w:rsidP="007B50EC">
      <w:pPr>
        <w:spacing w:line="360" w:lineRule="auto"/>
        <w:ind w:left="720" w:hanging="720"/>
      </w:pPr>
    </w:p>
    <w:sectPr w:rsidR="007B50EC" w:rsidRPr="007B50EC" w:rsidSect="005715D0">
      <w:headerReference w:type="first" r:id="rId1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B7CA2" w14:textId="77777777" w:rsidR="009860F0" w:rsidRDefault="009860F0" w:rsidP="002216E7">
      <w:pPr>
        <w:spacing w:after="0" w:line="240" w:lineRule="auto"/>
      </w:pPr>
      <w:r>
        <w:separator/>
      </w:r>
    </w:p>
  </w:endnote>
  <w:endnote w:type="continuationSeparator" w:id="0">
    <w:p w14:paraId="0D119977" w14:textId="77777777" w:rsidR="009860F0" w:rsidRDefault="009860F0"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AF097" w14:textId="77777777" w:rsidR="009860F0" w:rsidRDefault="009860F0" w:rsidP="002216E7">
      <w:pPr>
        <w:spacing w:after="0" w:line="240" w:lineRule="auto"/>
      </w:pPr>
      <w:r>
        <w:separator/>
      </w:r>
    </w:p>
  </w:footnote>
  <w:footnote w:type="continuationSeparator" w:id="0">
    <w:p w14:paraId="0C8118F8" w14:textId="77777777" w:rsidR="009860F0" w:rsidRDefault="009860F0"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958736"/>
      <w:docPartObj>
        <w:docPartGallery w:val="Page Numbers (Top of Page)"/>
        <w:docPartUnique/>
      </w:docPartObj>
    </w:sdt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CAB3C" w14:textId="6594FEF9" w:rsidR="005715D0" w:rsidRDefault="005715D0">
    <w:pPr>
      <w:pStyle w:val="Encabezado"/>
      <w:jc w:val="right"/>
    </w:pPr>
  </w:p>
  <w:p w14:paraId="34AB40FB" w14:textId="77777777" w:rsidR="005715D0" w:rsidRDefault="005715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018299"/>
      <w:docPartObj>
        <w:docPartGallery w:val="Page Numbers (Top of Page)"/>
        <w:docPartUnique/>
      </w:docPartObj>
    </w:sdtPr>
    <w:sdtContent>
      <w:p w14:paraId="2BAD5A7F" w14:textId="77777777" w:rsidR="005715D0" w:rsidRDefault="005715D0">
        <w:pPr>
          <w:pStyle w:val="Encabezado"/>
          <w:jc w:val="right"/>
        </w:pPr>
        <w:r>
          <w:fldChar w:fldCharType="begin"/>
        </w:r>
        <w:r>
          <w:instrText>PAGE   \* MERGEFORMAT</w:instrText>
        </w:r>
        <w:r>
          <w:fldChar w:fldCharType="separate"/>
        </w:r>
        <w:r>
          <w:rPr>
            <w:lang w:val="es-ES"/>
          </w:rPr>
          <w:t>2</w:t>
        </w:r>
        <w:r>
          <w:fldChar w:fldCharType="end"/>
        </w:r>
      </w:p>
    </w:sdtContent>
  </w:sdt>
  <w:p w14:paraId="3475939A" w14:textId="77777777" w:rsidR="005715D0" w:rsidRDefault="005715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768CD"/>
    <w:multiLevelType w:val="hybridMultilevel"/>
    <w:tmpl w:val="ABA8B79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050D8"/>
    <w:multiLevelType w:val="multilevel"/>
    <w:tmpl w:val="5444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447154">
    <w:abstractNumId w:val="15"/>
  </w:num>
  <w:num w:numId="2" w16cid:durableId="1141650770">
    <w:abstractNumId w:val="3"/>
  </w:num>
  <w:num w:numId="3" w16cid:durableId="1498183971">
    <w:abstractNumId w:val="17"/>
  </w:num>
  <w:num w:numId="4" w16cid:durableId="694230245">
    <w:abstractNumId w:val="10"/>
  </w:num>
  <w:num w:numId="5" w16cid:durableId="1089810568">
    <w:abstractNumId w:val="0"/>
  </w:num>
  <w:num w:numId="6" w16cid:durableId="1027486562">
    <w:abstractNumId w:val="12"/>
  </w:num>
  <w:num w:numId="7" w16cid:durableId="7685012">
    <w:abstractNumId w:val="8"/>
  </w:num>
  <w:num w:numId="8" w16cid:durableId="609505837">
    <w:abstractNumId w:val="16"/>
  </w:num>
  <w:num w:numId="9" w16cid:durableId="2049573210">
    <w:abstractNumId w:val="11"/>
  </w:num>
  <w:num w:numId="10" w16cid:durableId="1096364124">
    <w:abstractNumId w:val="4"/>
  </w:num>
  <w:num w:numId="11" w16cid:durableId="537594040">
    <w:abstractNumId w:val="5"/>
  </w:num>
  <w:num w:numId="12" w16cid:durableId="1127356081">
    <w:abstractNumId w:val="9"/>
  </w:num>
  <w:num w:numId="13" w16cid:durableId="1720785241">
    <w:abstractNumId w:val="6"/>
  </w:num>
  <w:num w:numId="14" w16cid:durableId="149253755">
    <w:abstractNumId w:val="14"/>
  </w:num>
  <w:num w:numId="15" w16cid:durableId="1030956983">
    <w:abstractNumId w:val="1"/>
  </w:num>
  <w:num w:numId="16" w16cid:durableId="2053769671">
    <w:abstractNumId w:val="2"/>
  </w:num>
  <w:num w:numId="17" w16cid:durableId="849099304">
    <w:abstractNumId w:val="7"/>
  </w:num>
  <w:num w:numId="18" w16cid:durableId="16076927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53A2A"/>
    <w:rsid w:val="000927D0"/>
    <w:rsid w:val="000B6D4D"/>
    <w:rsid w:val="000C005E"/>
    <w:rsid w:val="001F25E8"/>
    <w:rsid w:val="002216E7"/>
    <w:rsid w:val="00241F66"/>
    <w:rsid w:val="00290F96"/>
    <w:rsid w:val="002A0880"/>
    <w:rsid w:val="002F092F"/>
    <w:rsid w:val="00373E6A"/>
    <w:rsid w:val="003E18AD"/>
    <w:rsid w:val="003E71C6"/>
    <w:rsid w:val="003F5AE7"/>
    <w:rsid w:val="0047482A"/>
    <w:rsid w:val="00485C07"/>
    <w:rsid w:val="004879C6"/>
    <w:rsid w:val="004E5E50"/>
    <w:rsid w:val="004F3666"/>
    <w:rsid w:val="00510740"/>
    <w:rsid w:val="005269E8"/>
    <w:rsid w:val="00534A1B"/>
    <w:rsid w:val="00537E8C"/>
    <w:rsid w:val="00543934"/>
    <w:rsid w:val="0054667F"/>
    <w:rsid w:val="005715D0"/>
    <w:rsid w:val="005B2404"/>
    <w:rsid w:val="005B62EE"/>
    <w:rsid w:val="005B7BC6"/>
    <w:rsid w:val="005D7DFC"/>
    <w:rsid w:val="006A5004"/>
    <w:rsid w:val="006C29E5"/>
    <w:rsid w:val="00704792"/>
    <w:rsid w:val="007249E0"/>
    <w:rsid w:val="0073012F"/>
    <w:rsid w:val="0073132D"/>
    <w:rsid w:val="007541F3"/>
    <w:rsid w:val="007A006D"/>
    <w:rsid w:val="007B47B7"/>
    <w:rsid w:val="007B50EC"/>
    <w:rsid w:val="007D6DC7"/>
    <w:rsid w:val="007E7A24"/>
    <w:rsid w:val="00810D63"/>
    <w:rsid w:val="00853238"/>
    <w:rsid w:val="0086776A"/>
    <w:rsid w:val="00887149"/>
    <w:rsid w:val="008E2576"/>
    <w:rsid w:val="0090053D"/>
    <w:rsid w:val="009030DB"/>
    <w:rsid w:val="009470BB"/>
    <w:rsid w:val="0095354A"/>
    <w:rsid w:val="00963506"/>
    <w:rsid w:val="00970002"/>
    <w:rsid w:val="009860F0"/>
    <w:rsid w:val="009A590C"/>
    <w:rsid w:val="009A6CB2"/>
    <w:rsid w:val="009B0E59"/>
    <w:rsid w:val="009C2D6E"/>
    <w:rsid w:val="009D4E72"/>
    <w:rsid w:val="00A040B1"/>
    <w:rsid w:val="00A1527C"/>
    <w:rsid w:val="00A15F41"/>
    <w:rsid w:val="00A5198B"/>
    <w:rsid w:val="00A57F2F"/>
    <w:rsid w:val="00AC0E63"/>
    <w:rsid w:val="00AC5198"/>
    <w:rsid w:val="00B1165F"/>
    <w:rsid w:val="00B27FDB"/>
    <w:rsid w:val="00B54657"/>
    <w:rsid w:val="00B80AAB"/>
    <w:rsid w:val="00BA4CE2"/>
    <w:rsid w:val="00BE0349"/>
    <w:rsid w:val="00C070C3"/>
    <w:rsid w:val="00C3012B"/>
    <w:rsid w:val="00C77EFC"/>
    <w:rsid w:val="00CC162C"/>
    <w:rsid w:val="00CE20C4"/>
    <w:rsid w:val="00D66C02"/>
    <w:rsid w:val="00E37576"/>
    <w:rsid w:val="00E73C4D"/>
    <w:rsid w:val="00E81651"/>
    <w:rsid w:val="00F152DF"/>
    <w:rsid w:val="00F241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A040B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43988229">
      <w:bodyDiv w:val="1"/>
      <w:marLeft w:val="0"/>
      <w:marRight w:val="0"/>
      <w:marTop w:val="0"/>
      <w:marBottom w:val="0"/>
      <w:divBdr>
        <w:top w:val="none" w:sz="0" w:space="0" w:color="auto"/>
        <w:left w:val="none" w:sz="0" w:space="0" w:color="auto"/>
        <w:bottom w:val="none" w:sz="0" w:space="0" w:color="auto"/>
        <w:right w:val="none" w:sz="0" w:space="0" w:color="auto"/>
      </w:divBdr>
      <w:divsChild>
        <w:div w:id="859783333">
          <w:marLeft w:val="0"/>
          <w:marRight w:val="0"/>
          <w:marTop w:val="0"/>
          <w:marBottom w:val="0"/>
          <w:divBdr>
            <w:top w:val="none" w:sz="0" w:space="0" w:color="auto"/>
            <w:left w:val="none" w:sz="0" w:space="0" w:color="auto"/>
            <w:bottom w:val="none" w:sz="0" w:space="0" w:color="auto"/>
            <w:right w:val="none" w:sz="0" w:space="0" w:color="auto"/>
          </w:divBdr>
          <w:divsChild>
            <w:div w:id="4844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533">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86567374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1947806996">
      <w:bodyDiv w:val="1"/>
      <w:marLeft w:val="0"/>
      <w:marRight w:val="0"/>
      <w:marTop w:val="0"/>
      <w:marBottom w:val="0"/>
      <w:divBdr>
        <w:top w:val="none" w:sz="0" w:space="0" w:color="auto"/>
        <w:left w:val="none" w:sz="0" w:space="0" w:color="auto"/>
        <w:bottom w:val="none" w:sz="0" w:space="0" w:color="auto"/>
        <w:right w:val="none" w:sz="0" w:space="0" w:color="auto"/>
      </w:divBdr>
      <w:divsChild>
        <w:div w:id="1158426447">
          <w:marLeft w:val="0"/>
          <w:marRight w:val="0"/>
          <w:marTop w:val="0"/>
          <w:marBottom w:val="0"/>
          <w:divBdr>
            <w:top w:val="none" w:sz="0" w:space="0" w:color="auto"/>
            <w:left w:val="none" w:sz="0" w:space="0" w:color="auto"/>
            <w:bottom w:val="none" w:sz="0" w:space="0" w:color="auto"/>
            <w:right w:val="none" w:sz="0" w:space="0" w:color="auto"/>
          </w:divBdr>
          <w:divsChild>
            <w:div w:id="11389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470">
      <w:bodyDiv w:val="1"/>
      <w:marLeft w:val="0"/>
      <w:marRight w:val="0"/>
      <w:marTop w:val="0"/>
      <w:marBottom w:val="0"/>
      <w:divBdr>
        <w:top w:val="none" w:sz="0" w:space="0" w:color="auto"/>
        <w:left w:val="none" w:sz="0" w:space="0" w:color="auto"/>
        <w:bottom w:val="none" w:sz="0" w:space="0" w:color="auto"/>
        <w:right w:val="none" w:sz="0" w:space="0" w:color="auto"/>
      </w:divBdr>
      <w:divsChild>
        <w:div w:id="1007516156">
          <w:marLeft w:val="0"/>
          <w:marRight w:val="0"/>
          <w:marTop w:val="0"/>
          <w:marBottom w:val="0"/>
          <w:divBdr>
            <w:top w:val="none" w:sz="0" w:space="0" w:color="auto"/>
            <w:left w:val="none" w:sz="0" w:space="0" w:color="auto"/>
            <w:bottom w:val="none" w:sz="0" w:space="0" w:color="auto"/>
            <w:right w:val="none" w:sz="0" w:space="0" w:color="auto"/>
          </w:divBdr>
          <w:divsChild>
            <w:div w:id="1338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x0iRj8_9K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nedti6z-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novacionmaya.mx/article-el-uso-de-las-tic-como-estrategia-competitiva-en-la-gestion-empresarial.php"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33996/revistaenfoques.v3i12.7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ecnored.top/estrategias-de-alineacion-organizacional-en-ti-que-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2049</Words>
  <Characters>11270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Sandi</dc:creator>
  <cp:keywords/>
  <dc:description/>
  <cp:lastModifiedBy>Personal</cp:lastModifiedBy>
  <cp:revision>6</cp:revision>
  <cp:lastPrinted>2025-03-07T03:05:00Z</cp:lastPrinted>
  <dcterms:created xsi:type="dcterms:W3CDTF">2025-03-04T09:08:00Z</dcterms:created>
  <dcterms:modified xsi:type="dcterms:W3CDTF">2025-03-07T03:54:00Z</dcterms:modified>
</cp:coreProperties>
</file>