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918797" w14:textId="77777777" w:rsidR="00871A2A" w:rsidRPr="00871A2A" w:rsidRDefault="00871A2A" w:rsidP="00871A2A">
      <w:pPr>
        <w:pStyle w:val="NormalWeb"/>
        <w:shd w:val="clear" w:color="auto" w:fill="FFFFFF"/>
        <w:spacing w:before="0" w:beforeAutospacing="0"/>
        <w:rPr>
          <w:rFonts w:ascii="Arial" w:hAnsi="Arial" w:cs="Arial"/>
          <w:color w:val="1D2125"/>
          <w:sz w:val="23"/>
          <w:szCs w:val="23"/>
          <w:lang w:val="es-ES"/>
        </w:rPr>
      </w:pPr>
      <w:r w:rsidRPr="00871A2A">
        <w:rPr>
          <w:rFonts w:ascii="Arial" w:hAnsi="Arial" w:cs="Arial"/>
          <w:color w:val="1D2125"/>
          <w:sz w:val="23"/>
          <w:szCs w:val="23"/>
          <w:lang w:val="es-ES"/>
        </w:rPr>
        <w:t>Para todo tipo de proceso guiado por objetivos, es posible determinar un desempeño objetivo que permita conceptualizar la idea éxito o fracaso en dicho proceso. Al hablar de desempeño, se habla de los resultados finales reales de una situación o evento, contrastados con aquellos esperados o previstos. A esto, el desempeño representa el insumo principal para el entendimiento tanto de la viabilidad de dicho conjunto de procesos, así como de su potencial. Por lo tanto, la motivación fundamental para medir el desempeño radica en lograr obtener esa retroalimentación que permite determinar las fortalezas y carentes, así como la valía de los resultados. En otras palabras, puede determinarse si el proceso como tal debe ser cambiado –por un desempeño real decadente en frente al esperado—, puede ser cambiado –para una optimización del desempeño real que presente el potencial para superar al esperado—, o sencillamente eliminado.</w:t>
      </w:r>
    </w:p>
    <w:p w14:paraId="720B682C" w14:textId="77777777" w:rsidR="00871A2A" w:rsidRPr="00871A2A" w:rsidRDefault="00871A2A" w:rsidP="00871A2A">
      <w:pPr>
        <w:pStyle w:val="NormalWeb"/>
        <w:shd w:val="clear" w:color="auto" w:fill="FFFFFF"/>
        <w:spacing w:before="0" w:beforeAutospacing="0"/>
        <w:rPr>
          <w:rFonts w:ascii="Arial" w:hAnsi="Arial" w:cs="Arial"/>
          <w:color w:val="1D2125"/>
          <w:sz w:val="23"/>
          <w:szCs w:val="23"/>
          <w:lang w:val="es-ES"/>
        </w:rPr>
      </w:pPr>
      <w:r w:rsidRPr="00871A2A">
        <w:rPr>
          <w:rFonts w:ascii="Arial" w:hAnsi="Arial" w:cs="Arial"/>
          <w:color w:val="1D2125"/>
          <w:sz w:val="23"/>
          <w:szCs w:val="23"/>
          <w:lang w:val="es-ES"/>
        </w:rPr>
        <w:t>De esta forma, el meta-proceso de análisis aplicado en las operaciones (la </w:t>
      </w:r>
      <w:r w:rsidRPr="00871A2A">
        <w:rPr>
          <w:rStyle w:val="Emphasis"/>
          <w:rFonts w:ascii="Arial" w:hAnsi="Arial" w:cs="Arial"/>
          <w:color w:val="1D2125"/>
          <w:sz w:val="23"/>
          <w:szCs w:val="23"/>
          <w:lang w:val="es-ES"/>
        </w:rPr>
        <w:t>Investigación de Operaciones</w:t>
      </w:r>
      <w:r w:rsidRPr="00871A2A">
        <w:rPr>
          <w:rFonts w:ascii="Arial" w:hAnsi="Arial" w:cs="Arial"/>
          <w:color w:val="1D2125"/>
          <w:sz w:val="23"/>
          <w:szCs w:val="23"/>
          <w:lang w:val="es-ES"/>
        </w:rPr>
        <w:t>) que componen la realización del proceso guiado por objetivos, no es realimente un concepto que, en su base, sea nuevo en la operatividad humana. Sin embargo, la existencia intuitiva e informal de algo no suele reconocerse de manera sólida y universal hasta que este algo sea concretado científicamente. De esta forma, Hillier (2015) reconoce el surgimiento formal de la IO en conjunto con dos hitos operativos fundamentales en la historia humana. El primero, siendo la explosión operativa, así como de valía en fuerza laboral para la producción masiva contra la producción artesanal, producto de la revolución industrial. El segundo, la formalización y prueba empírica de este sistema de meta-procesos durante las guerras mundiales,  para la autoconcientización del desempeño operativo bajo análisis cuantificables.</w:t>
      </w:r>
    </w:p>
    <w:p w14:paraId="3AA8424A" w14:textId="77777777" w:rsidR="00871A2A" w:rsidRPr="00871A2A" w:rsidRDefault="00871A2A" w:rsidP="00871A2A">
      <w:pPr>
        <w:pStyle w:val="NormalWeb"/>
        <w:shd w:val="clear" w:color="auto" w:fill="FFFFFF"/>
        <w:spacing w:before="0" w:beforeAutospacing="0"/>
        <w:rPr>
          <w:rFonts w:ascii="Arial" w:hAnsi="Arial" w:cs="Arial"/>
          <w:color w:val="1D2125"/>
          <w:sz w:val="23"/>
          <w:szCs w:val="23"/>
          <w:lang w:val="es-ES"/>
        </w:rPr>
      </w:pPr>
      <w:r w:rsidRPr="00871A2A">
        <w:rPr>
          <w:rFonts w:ascii="Arial" w:hAnsi="Arial" w:cs="Arial"/>
          <w:color w:val="1D2125"/>
          <w:sz w:val="23"/>
          <w:szCs w:val="23"/>
          <w:lang w:val="es-ES"/>
        </w:rPr>
        <w:t>Como resultado de lo anterior, el autor atribuye el nacimiento de la IO como una disciplina científica formal. Por lo tanto, Hillier (2015) reporta la existencia de una “plantilla” que ha llegado a consolidarse para guiar el meta-proceso analítico de las IO. En esta, se definen seis etapas cuyo transcurso busca preparar el estado del meta-proceso de tal forma que el desarrollo de etapas subsecuentes se realice con mayor naturalidad y fluidez.</w:t>
      </w:r>
    </w:p>
    <w:p w14:paraId="6403F6B5" w14:textId="77777777" w:rsidR="00871A2A" w:rsidRPr="00871A2A" w:rsidRDefault="00871A2A" w:rsidP="00871A2A">
      <w:pPr>
        <w:pStyle w:val="NormalWeb"/>
        <w:shd w:val="clear" w:color="auto" w:fill="FFFFFF"/>
        <w:spacing w:before="0" w:beforeAutospacing="0"/>
        <w:rPr>
          <w:rFonts w:ascii="Arial" w:hAnsi="Arial" w:cs="Arial"/>
          <w:color w:val="1D2125"/>
          <w:sz w:val="23"/>
          <w:szCs w:val="23"/>
          <w:lang w:val="es-ES"/>
        </w:rPr>
      </w:pPr>
      <w:r w:rsidRPr="00871A2A">
        <w:rPr>
          <w:rFonts w:ascii="Arial" w:hAnsi="Arial" w:cs="Arial"/>
          <w:color w:val="1D2125"/>
          <w:sz w:val="23"/>
          <w:szCs w:val="23"/>
          <w:lang w:val="es-ES"/>
        </w:rPr>
        <w:t>La primer etapa es reconocida por el autor como la </w:t>
      </w:r>
      <w:r w:rsidRPr="00871A2A">
        <w:rPr>
          <w:rStyle w:val="Strong"/>
          <w:rFonts w:ascii="Arial" w:hAnsi="Arial" w:cs="Arial"/>
          <w:color w:val="1D2125"/>
          <w:sz w:val="23"/>
          <w:szCs w:val="23"/>
          <w:lang w:val="es-ES"/>
        </w:rPr>
        <w:t>definición del problema y la recolección de datos</w:t>
      </w:r>
      <w:r w:rsidRPr="00871A2A">
        <w:rPr>
          <w:rFonts w:ascii="Arial" w:hAnsi="Arial" w:cs="Arial"/>
          <w:color w:val="1D2125"/>
          <w:sz w:val="23"/>
          <w:szCs w:val="23"/>
          <w:lang w:val="es-ES"/>
        </w:rPr>
        <w:t>, y su objetivo principal es la consolidación rigurosa y específica de un problema abstracto –e inclusive potencialmente compuesto—mediante el análisis de datos relevantes para determinar de manera puntual la situación por analizar. La segunda Es la </w:t>
      </w:r>
      <w:r w:rsidRPr="00871A2A">
        <w:rPr>
          <w:rStyle w:val="Strong"/>
          <w:rFonts w:ascii="Arial" w:hAnsi="Arial" w:cs="Arial"/>
          <w:color w:val="1D2125"/>
          <w:sz w:val="23"/>
          <w:szCs w:val="23"/>
          <w:lang w:val="es-ES"/>
        </w:rPr>
        <w:t>formulación de un modelo matemático</w:t>
      </w:r>
      <w:r w:rsidRPr="00871A2A">
        <w:rPr>
          <w:rFonts w:ascii="Arial" w:hAnsi="Arial" w:cs="Arial"/>
          <w:color w:val="1D2125"/>
          <w:sz w:val="23"/>
          <w:szCs w:val="23"/>
          <w:lang w:val="es-ES"/>
        </w:rPr>
        <w:t>. Esta etapa es esencial para la cuantificación del análisis, pues busca lograr representar el mismo mediante un proceso matemático comprensive y analizable, el cual puede solucionarse algorítmicamente, con el uso de constantes y variables, y dar como resultado valores analizables y valiosos para el entendimiento de las operaciones o el problema de análisis. La tercer destacada por Hillier (2015) es la </w:t>
      </w:r>
      <w:r w:rsidRPr="00871A2A">
        <w:rPr>
          <w:rStyle w:val="Strong"/>
          <w:rFonts w:ascii="Arial" w:hAnsi="Arial" w:cs="Arial"/>
          <w:color w:val="1D2125"/>
          <w:sz w:val="23"/>
          <w:szCs w:val="23"/>
          <w:lang w:val="es-ES"/>
        </w:rPr>
        <w:t>obtención de soluciones a partir de un modelo</w:t>
      </w:r>
      <w:r w:rsidRPr="00871A2A">
        <w:rPr>
          <w:rFonts w:ascii="Arial" w:hAnsi="Arial" w:cs="Arial"/>
          <w:color w:val="1D2125"/>
          <w:sz w:val="23"/>
          <w:szCs w:val="23"/>
          <w:lang w:val="es-ES"/>
        </w:rPr>
        <w:t>; etapa donde, típicamente apoyándose en un análisis basado en computadora, el autor indica se lleva a cabo un proceso de recolección y compilación de resultados obtenidos del modelo matemático previamente diseñado. La siguiente etapa es la </w:t>
      </w:r>
      <w:r w:rsidRPr="00871A2A">
        <w:rPr>
          <w:rStyle w:val="Strong"/>
          <w:rFonts w:ascii="Arial" w:hAnsi="Arial" w:cs="Arial"/>
          <w:color w:val="1D2125"/>
          <w:sz w:val="23"/>
          <w:szCs w:val="23"/>
          <w:lang w:val="es-ES"/>
        </w:rPr>
        <w:t>prueba del modelo</w:t>
      </w:r>
      <w:r w:rsidRPr="00871A2A">
        <w:rPr>
          <w:rFonts w:ascii="Arial" w:hAnsi="Arial" w:cs="Arial"/>
          <w:color w:val="1D2125"/>
          <w:sz w:val="23"/>
          <w:szCs w:val="23"/>
          <w:lang w:val="es-ES"/>
        </w:rPr>
        <w:t>, donde el autor indica se contrasta los resultados compilados en la etapa previa con –según el caso—resultados reales actuales o resultados de desempeño esperados. De esta manera, la etapa permite brindar una retroalimentación de la viabilidad del modelo hasta el momento, y de si este debe cambiarse, puede mejorarse, o si es apto. La siguiente etapa es llamada por el autor como </w:t>
      </w:r>
      <w:r w:rsidRPr="00871A2A">
        <w:rPr>
          <w:rStyle w:val="Strong"/>
          <w:rFonts w:ascii="Arial" w:hAnsi="Arial" w:cs="Arial"/>
          <w:color w:val="1D2125"/>
          <w:sz w:val="23"/>
          <w:szCs w:val="23"/>
          <w:lang w:val="es-ES"/>
        </w:rPr>
        <w:t>preparación para aplicar el modelo</w:t>
      </w:r>
      <w:r w:rsidRPr="00871A2A">
        <w:rPr>
          <w:rFonts w:ascii="Arial" w:hAnsi="Arial" w:cs="Arial"/>
          <w:color w:val="1D2125"/>
          <w:sz w:val="23"/>
          <w:szCs w:val="23"/>
          <w:lang w:val="es-ES"/>
        </w:rPr>
        <w:t xml:space="preserve">. Esta, como lo indica su nombre, consiste la </w:t>
      </w:r>
      <w:r w:rsidRPr="00871A2A">
        <w:rPr>
          <w:rFonts w:ascii="Arial" w:hAnsi="Arial" w:cs="Arial"/>
          <w:color w:val="1D2125"/>
          <w:sz w:val="23"/>
          <w:szCs w:val="23"/>
          <w:lang w:val="es-ES"/>
        </w:rPr>
        <w:lastRenderedPageBreak/>
        <w:t>refinación de los últimos detalles del modelo consolidado, para que pueda ser presentado y distribuido a las entidades interesadas en su uso. En esencia, esta etapa busca preparar el modelo –como si de un producto encargado en un compra se tratase— para el uso cotidiano esperado que motivó su creación inicial. La etapa final indicada por Hillier (2015) es llamada </w:t>
      </w:r>
      <w:r w:rsidRPr="00871A2A">
        <w:rPr>
          <w:rStyle w:val="Strong"/>
          <w:rFonts w:ascii="Arial" w:hAnsi="Arial" w:cs="Arial"/>
          <w:color w:val="1D2125"/>
          <w:sz w:val="23"/>
          <w:szCs w:val="23"/>
          <w:lang w:val="es-ES"/>
        </w:rPr>
        <w:t>implementación</w:t>
      </w:r>
      <w:r w:rsidRPr="00871A2A">
        <w:rPr>
          <w:rFonts w:ascii="Arial" w:hAnsi="Arial" w:cs="Arial"/>
          <w:color w:val="1D2125"/>
          <w:sz w:val="23"/>
          <w:szCs w:val="23"/>
          <w:lang w:val="es-ES"/>
        </w:rPr>
        <w:t>, la cual surge de manera natural a la etapa previa. Esta etapa pone en aplica las preparaciones realizadas anteriormente, y entrega el modelo a las entidades. De esta forma, es en esta donde se cosecha por primera vez los beneficios reales del modelo; sin embargo, precisamente por este último detalle, el autor indica que se implica como parte de la etapa una necesidad de formalizar un postproceso de mantenimiento al modelo. Esto debido a que, al ser esta etapa el momento donde por primera vez se ve el modelo en su ejecución real, son también estos los resultados más provechosos para determinar cualquier optimización que pueda –o deba—realizarse sobre el mismo.</w:t>
      </w:r>
    </w:p>
    <w:p w14:paraId="071C7831" w14:textId="77777777" w:rsidR="00871A2A" w:rsidRPr="00871A2A" w:rsidRDefault="00871A2A" w:rsidP="00871A2A">
      <w:pPr>
        <w:pStyle w:val="NormalWeb"/>
        <w:shd w:val="clear" w:color="auto" w:fill="FFFFFF"/>
        <w:spacing w:before="0" w:beforeAutospacing="0"/>
        <w:rPr>
          <w:rFonts w:ascii="Arial" w:hAnsi="Arial" w:cs="Arial"/>
          <w:color w:val="1D2125"/>
          <w:sz w:val="23"/>
          <w:szCs w:val="23"/>
          <w:lang w:val="es-ES"/>
        </w:rPr>
      </w:pPr>
      <w:r w:rsidRPr="00871A2A">
        <w:rPr>
          <w:rFonts w:ascii="Arial" w:hAnsi="Arial" w:cs="Arial"/>
          <w:color w:val="1D2125"/>
          <w:sz w:val="23"/>
          <w:szCs w:val="23"/>
          <w:lang w:val="es-ES"/>
        </w:rPr>
        <w:t>Un ejemplo real –aunque general—puede ser utilizado por un supermercado en el residencial de Lomas del Sol. A lo largo de los años, ha habido un incremento de diversos locales de este tipo de tal forma que en un espacio de 2km pueden encontrarse 6 establecimientos diferentes. El IO podría aplicarse para determinar la viabilidad actual de alguno de estos negocios en contraste a su alta competencia, qué acciones previas en ciertos contextos (por ejemplo temporadas) han sido exitosas y por lo tanto, qué acciones pueden tomarse para aumentar la viabilidad de dicho establecimiento, y sobrepasar a la competencia.</w:t>
      </w:r>
    </w:p>
    <w:p w14:paraId="6A3B9BA2" w14:textId="77777777" w:rsidR="00871A2A" w:rsidRPr="00871A2A" w:rsidRDefault="00871A2A" w:rsidP="00871A2A">
      <w:pPr>
        <w:pStyle w:val="NormalWeb"/>
        <w:shd w:val="clear" w:color="auto" w:fill="FFFFFF"/>
        <w:spacing w:before="0" w:beforeAutospacing="0"/>
        <w:rPr>
          <w:rFonts w:ascii="Arial" w:hAnsi="Arial" w:cs="Arial"/>
          <w:color w:val="1D2125"/>
          <w:sz w:val="23"/>
          <w:szCs w:val="23"/>
          <w:lang w:val="es-ES"/>
        </w:rPr>
      </w:pPr>
      <w:r w:rsidRPr="00871A2A">
        <w:rPr>
          <w:rStyle w:val="Strong"/>
          <w:rFonts w:ascii="Arial" w:hAnsi="Arial" w:cs="Arial"/>
          <w:color w:val="1D2125"/>
          <w:sz w:val="23"/>
          <w:szCs w:val="23"/>
          <w:lang w:val="es-ES"/>
        </w:rPr>
        <w:t>Bibliografía:</w:t>
      </w:r>
    </w:p>
    <w:p w14:paraId="0BCE79A9" w14:textId="77777777" w:rsidR="00871A2A" w:rsidRDefault="00871A2A" w:rsidP="00871A2A">
      <w:pPr>
        <w:pStyle w:val="NormalWeb"/>
        <w:shd w:val="clear" w:color="auto" w:fill="FFFFFF"/>
        <w:spacing w:before="0" w:beforeAutospacing="0"/>
        <w:rPr>
          <w:rFonts w:ascii="Arial" w:hAnsi="Arial" w:cs="Arial"/>
          <w:color w:val="1D2125"/>
          <w:sz w:val="23"/>
          <w:szCs w:val="23"/>
        </w:rPr>
      </w:pPr>
      <w:r w:rsidRPr="00871A2A">
        <w:rPr>
          <w:rFonts w:ascii="Arial" w:hAnsi="Arial" w:cs="Arial"/>
          <w:color w:val="1D2125"/>
          <w:sz w:val="23"/>
          <w:szCs w:val="23"/>
          <w:lang w:val="es-ES"/>
        </w:rPr>
        <w:t>Hillier, F. S. (2015). </w:t>
      </w:r>
      <w:r w:rsidRPr="00871A2A">
        <w:rPr>
          <w:rStyle w:val="Emphasis"/>
          <w:rFonts w:ascii="Arial" w:hAnsi="Arial" w:cs="Arial"/>
          <w:color w:val="1D2125"/>
          <w:sz w:val="23"/>
          <w:szCs w:val="23"/>
          <w:lang w:val="es-ES"/>
        </w:rPr>
        <w:t>Investigación de operaciones</w:t>
      </w:r>
      <w:r w:rsidRPr="00871A2A">
        <w:rPr>
          <w:rFonts w:ascii="Arial" w:hAnsi="Arial" w:cs="Arial"/>
          <w:color w:val="1D2125"/>
          <w:sz w:val="23"/>
          <w:szCs w:val="23"/>
          <w:lang w:val="es-ES"/>
        </w:rPr>
        <w:t xml:space="preserve">, 10a Edición [Versión en Bookshelf]. </w:t>
      </w:r>
      <w:r>
        <w:rPr>
          <w:rFonts w:ascii="Arial" w:hAnsi="Arial" w:cs="Arial"/>
          <w:color w:val="1D2125"/>
          <w:sz w:val="23"/>
          <w:szCs w:val="23"/>
        </w:rPr>
        <w:t xml:space="preserve">McGraw-Hill </w:t>
      </w:r>
      <w:proofErr w:type="spellStart"/>
      <w:r>
        <w:rPr>
          <w:rFonts w:ascii="Arial" w:hAnsi="Arial" w:cs="Arial"/>
          <w:color w:val="1D2125"/>
          <w:sz w:val="23"/>
          <w:szCs w:val="23"/>
        </w:rPr>
        <w:t>Interamericana</w:t>
      </w:r>
      <w:proofErr w:type="spellEnd"/>
      <w:r>
        <w:rPr>
          <w:rFonts w:ascii="Arial" w:hAnsi="Arial" w:cs="Arial"/>
          <w:color w:val="1D2125"/>
          <w:sz w:val="23"/>
          <w:szCs w:val="23"/>
        </w:rPr>
        <w:t>.</w:t>
      </w:r>
    </w:p>
    <w:p w14:paraId="49BA893F" w14:textId="77777777" w:rsidR="003C6089" w:rsidRDefault="003C6089"/>
    <w:sectPr w:rsidR="003C608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A2A"/>
    <w:rsid w:val="003C6089"/>
    <w:rsid w:val="00871A2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F7A3B"/>
  <w15:chartTrackingRefBased/>
  <w15:docId w15:val="{3576070E-753C-4544-B13B-830BFF2DC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71A2A"/>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Emphasis">
    <w:name w:val="Emphasis"/>
    <w:basedOn w:val="DefaultParagraphFont"/>
    <w:uiPriority w:val="20"/>
    <w:qFormat/>
    <w:rsid w:val="00871A2A"/>
    <w:rPr>
      <w:i/>
      <w:iCs/>
    </w:rPr>
  </w:style>
  <w:style w:type="character" w:styleId="Strong">
    <w:name w:val="Strong"/>
    <w:basedOn w:val="DefaultParagraphFont"/>
    <w:uiPriority w:val="22"/>
    <w:qFormat/>
    <w:rsid w:val="00871A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3706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843</Words>
  <Characters>4810</Characters>
  <Application>Microsoft Office Word</Application>
  <DocSecurity>0</DocSecurity>
  <Lines>40</Lines>
  <Paragraphs>11</Paragraphs>
  <ScaleCrop>false</ScaleCrop>
  <Company/>
  <LinksUpToDate>false</LinksUpToDate>
  <CharactersWithSpaces>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Karla Bricelda Aguilar Gonzalez</dc:creator>
  <cp:keywords/>
  <dc:description/>
  <cp:lastModifiedBy>Karla Bricelda Aguilar Gonzalez</cp:lastModifiedBy>
  <cp:revision>1</cp:revision>
  <dcterms:created xsi:type="dcterms:W3CDTF">2022-06-23T23:46:00Z</dcterms:created>
  <dcterms:modified xsi:type="dcterms:W3CDTF">2022-06-23T23:47:00Z</dcterms:modified>
</cp:coreProperties>
</file>