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54545E" w14:textId="77777777" w:rsidR="00A16DB7" w:rsidRPr="000015AD" w:rsidRDefault="00A16DB7" w:rsidP="000015AD">
      <w:pPr>
        <w:spacing w:line="276" w:lineRule="auto"/>
        <w:jc w:val="center"/>
        <w:rPr>
          <w:rFonts w:ascii="Arial" w:hAnsi="Arial" w:cs="Arial"/>
          <w:b/>
          <w:bCs/>
          <w:sz w:val="22"/>
          <w:szCs w:val="22"/>
        </w:rPr>
      </w:pPr>
      <w:r w:rsidRPr="000015AD">
        <w:rPr>
          <w:rFonts w:ascii="Arial" w:hAnsi="Arial" w:cs="Arial"/>
          <w:b/>
          <w:bCs/>
          <w:sz w:val="22"/>
          <w:szCs w:val="22"/>
        </w:rPr>
        <w:t xml:space="preserve">Análisis de Decisiones sobre Oportunidades de Exploración en Tierra en EE. UU. en Phillips </w:t>
      </w:r>
      <w:proofErr w:type="spellStart"/>
      <w:r w:rsidRPr="000015AD">
        <w:rPr>
          <w:rFonts w:ascii="Arial" w:hAnsi="Arial" w:cs="Arial"/>
          <w:b/>
          <w:bCs/>
          <w:sz w:val="22"/>
          <w:szCs w:val="22"/>
        </w:rPr>
        <w:t>Petroleum</w:t>
      </w:r>
      <w:proofErr w:type="spellEnd"/>
      <w:r w:rsidRPr="000015AD">
        <w:rPr>
          <w:rFonts w:ascii="Arial" w:hAnsi="Arial" w:cs="Arial"/>
          <w:b/>
          <w:bCs/>
          <w:sz w:val="22"/>
          <w:szCs w:val="22"/>
        </w:rPr>
        <w:t xml:space="preserve"> Company</w:t>
      </w:r>
    </w:p>
    <w:p w14:paraId="1A355784" w14:textId="77777777" w:rsidR="00A16DB7" w:rsidRPr="00362E4D" w:rsidRDefault="00A16DB7" w:rsidP="00362E4D">
      <w:pPr>
        <w:spacing w:line="276" w:lineRule="auto"/>
        <w:jc w:val="both"/>
        <w:rPr>
          <w:rFonts w:ascii="Arial" w:hAnsi="Arial" w:cs="Arial"/>
          <w:sz w:val="22"/>
          <w:szCs w:val="22"/>
        </w:rPr>
      </w:pPr>
    </w:p>
    <w:p w14:paraId="75D41B67" w14:textId="0B6B33BB" w:rsidR="007D5BA3" w:rsidRPr="00362E4D" w:rsidRDefault="00A16DB7" w:rsidP="00362E4D">
      <w:pPr>
        <w:spacing w:line="276" w:lineRule="auto"/>
        <w:jc w:val="both"/>
        <w:rPr>
          <w:rFonts w:ascii="Arial" w:hAnsi="Arial" w:cs="Arial"/>
          <w:sz w:val="22"/>
          <w:szCs w:val="22"/>
        </w:rPr>
      </w:pPr>
      <w:r w:rsidRPr="00362E4D">
        <w:rPr>
          <w:rFonts w:ascii="Arial" w:hAnsi="Arial" w:cs="Arial"/>
          <w:sz w:val="22"/>
          <w:szCs w:val="22"/>
        </w:rPr>
        <w:t xml:space="preserve">Los gerentes de exploración petrolera deben asignar recursos escasos entre un conjunto de alternativas de inversión riesgosas e inciertas. Desarrollamos DISCOVERY, un paquete de software de análisis de decisiones, que proporcionó a la división de exploración de Phillips </w:t>
      </w:r>
      <w:proofErr w:type="spellStart"/>
      <w:r w:rsidRPr="00362E4D">
        <w:rPr>
          <w:rFonts w:ascii="Arial" w:hAnsi="Arial" w:cs="Arial"/>
          <w:sz w:val="22"/>
          <w:szCs w:val="22"/>
        </w:rPr>
        <w:t>Petroleum</w:t>
      </w:r>
      <w:proofErr w:type="spellEnd"/>
      <w:r w:rsidRPr="00362E4D">
        <w:rPr>
          <w:rFonts w:ascii="Arial" w:hAnsi="Arial" w:cs="Arial"/>
          <w:sz w:val="22"/>
          <w:szCs w:val="22"/>
        </w:rPr>
        <w:t xml:space="preserve"> Company una alternativa para evaluar una combinación de inversiones riesgosas y seleccionar niveles de participación acordes con la propensión al riesgo de la empresa. Los gerentes de Phillips utilizan el software para evaluar proyectos con una política de toma de riesgos consistente, clasificarlos según su preferencia general, identificar el nivel de participación adecuado para la empresa y ajustarse a los presupuestos de su división. Este enfoque mejoró la conciencia y la tolerancia al riesgo de la gerencia, y proporcionó información sobre los riesgos financieros relativos asociados a las oportunidades de inversión disponibles. Como resultado de este proyecto, la compañía ha desarrollado métodos consistentes de análisis de riesgos que incluyen un análisis integral de todos los proyectos de exploración.</w:t>
      </w:r>
    </w:p>
    <w:p w14:paraId="2C161A7E" w14:textId="72E4F9F7" w:rsidR="00A16DB7" w:rsidRPr="00362E4D" w:rsidRDefault="00A16DB7" w:rsidP="000015AD">
      <w:pPr>
        <w:spacing w:line="276" w:lineRule="auto"/>
        <w:ind w:firstLine="720"/>
        <w:jc w:val="both"/>
        <w:rPr>
          <w:rFonts w:ascii="Arial" w:hAnsi="Arial" w:cs="Arial"/>
          <w:sz w:val="22"/>
          <w:szCs w:val="22"/>
        </w:rPr>
      </w:pPr>
      <w:r w:rsidRPr="00362E4D">
        <w:rPr>
          <w:rFonts w:ascii="Arial" w:hAnsi="Arial" w:cs="Arial"/>
          <w:sz w:val="22"/>
          <w:szCs w:val="22"/>
        </w:rPr>
        <w:t>Las empresas de exploración petrolera se enfrentan diariamente a la difícil asignación de capital de inversión escaso entre diversos proyectos de exploración, generalmente caracterizados por el riesgo financiero y la incertidumbre. En 1992, por ejemplo, los presupuestos de capital nacional e internacional de 55 de las mayores compañías petroleras estadounidenses superaron los 35 000 millones de dólares. El impacto de la eficacia de la asignación de capital en el rendimiento de las unidades de negocio de exploración es significativo.</w:t>
      </w:r>
    </w:p>
    <w:p w14:paraId="18B4836D" w14:textId="7E5E075B" w:rsidR="00A16DB7" w:rsidRDefault="00A16DB7" w:rsidP="000015AD">
      <w:pPr>
        <w:spacing w:line="276" w:lineRule="auto"/>
        <w:ind w:firstLine="720"/>
        <w:jc w:val="both"/>
        <w:rPr>
          <w:rFonts w:ascii="Arial" w:hAnsi="Arial" w:cs="Arial"/>
          <w:sz w:val="22"/>
          <w:szCs w:val="22"/>
        </w:rPr>
      </w:pPr>
      <w:r w:rsidRPr="00362E4D">
        <w:rPr>
          <w:rFonts w:ascii="Arial" w:hAnsi="Arial" w:cs="Arial"/>
          <w:sz w:val="22"/>
          <w:szCs w:val="22"/>
        </w:rPr>
        <w:t>Las decisiones de gestión de riesgos en la industria petrolera se encuentran entre las más complejas conceptualmente que enfrentan los gerentes. Las oportunidades de inversión suelen presentar características de riesgo muy diferentes. Quien toma las decisiones se enfrenta a una combinación de oportunidades de perforación, desde "baja probabilidad de éxito - alta rentabilidad" hasta "alta probabilidad de éxito - baja rentabilidad". ¿Cómo debería el gerente evaluar y comparar estos proyectos en función del riesgo? Hasta hace poco, las decisiones sobre diversificación y distribución de riesgos, los principales métodos para controlar el riesgo, se basaban principalmente en procedimientos informales, reglas generales e intuición individual. Los esfuerzos para medir y controlar el riesgo formalmente se han visto obstaculizados por la falta de un sistema informático de apoyo a la toma de decisiones adecuado para una amplia gama de tomadores de decisiones.</w:t>
      </w:r>
    </w:p>
    <w:p w14:paraId="2989E4DF" w14:textId="77777777" w:rsidR="000015AD" w:rsidRPr="00362E4D" w:rsidRDefault="000015AD" w:rsidP="00362E4D">
      <w:pPr>
        <w:spacing w:line="276" w:lineRule="auto"/>
        <w:jc w:val="both"/>
        <w:rPr>
          <w:rFonts w:ascii="Arial" w:hAnsi="Arial" w:cs="Arial"/>
          <w:sz w:val="22"/>
          <w:szCs w:val="22"/>
        </w:rPr>
      </w:pPr>
    </w:p>
    <w:p w14:paraId="19A2D186" w14:textId="77777777" w:rsidR="00A16DB7" w:rsidRPr="00362E4D" w:rsidRDefault="00A16DB7" w:rsidP="000015AD">
      <w:pPr>
        <w:spacing w:line="276" w:lineRule="auto"/>
        <w:jc w:val="center"/>
        <w:rPr>
          <w:rFonts w:ascii="Arial" w:hAnsi="Arial" w:cs="Arial"/>
          <w:b/>
          <w:bCs/>
          <w:sz w:val="22"/>
          <w:szCs w:val="22"/>
        </w:rPr>
      </w:pPr>
      <w:r w:rsidRPr="00362E4D">
        <w:rPr>
          <w:rFonts w:ascii="Arial" w:hAnsi="Arial" w:cs="Arial"/>
          <w:b/>
          <w:bCs/>
          <w:sz w:val="22"/>
          <w:szCs w:val="22"/>
        </w:rPr>
        <w:t>Teoría Financiera Moderna y Presupuesto de Capital en Incertidumbre</w:t>
      </w:r>
    </w:p>
    <w:p w14:paraId="164CC50B" w14:textId="77777777" w:rsidR="00A16DB7" w:rsidRPr="00362E4D" w:rsidRDefault="00A16DB7" w:rsidP="00362E4D">
      <w:pPr>
        <w:spacing w:line="276" w:lineRule="auto"/>
        <w:jc w:val="both"/>
        <w:rPr>
          <w:rFonts w:ascii="Arial" w:hAnsi="Arial" w:cs="Arial"/>
          <w:sz w:val="22"/>
          <w:szCs w:val="22"/>
        </w:rPr>
      </w:pPr>
    </w:p>
    <w:p w14:paraId="02D62C07" w14:textId="77777777" w:rsidR="000015AD" w:rsidRDefault="00A16DB7" w:rsidP="00362E4D">
      <w:pPr>
        <w:spacing w:line="276" w:lineRule="auto"/>
        <w:jc w:val="both"/>
        <w:rPr>
          <w:rFonts w:ascii="Arial" w:hAnsi="Arial" w:cs="Arial"/>
          <w:sz w:val="22"/>
          <w:szCs w:val="22"/>
        </w:rPr>
      </w:pPr>
      <w:r w:rsidRPr="00362E4D">
        <w:rPr>
          <w:rFonts w:ascii="Arial" w:hAnsi="Arial" w:cs="Arial"/>
          <w:sz w:val="22"/>
          <w:szCs w:val="22"/>
        </w:rPr>
        <w:t xml:space="preserve">El problema del presupuesto de capital ocupa un lugar destacado tanto en la teoría como en la práctica de las finanzas corporativas. El objetivo generalmente aceptado para la toma de decisiones financieras en la teoría financiera es maximizar la riqueza del propietario. En un mundo de certidumbre, los teóricos financieros generalmente coinciden en que elegir entre proyectos independientes y mutuamente excluyentes, basándose en el valor actual neto, es </w:t>
      </w:r>
      <w:r w:rsidRPr="00362E4D">
        <w:rPr>
          <w:rFonts w:ascii="Arial" w:hAnsi="Arial" w:cs="Arial"/>
          <w:sz w:val="22"/>
          <w:szCs w:val="22"/>
        </w:rPr>
        <w:lastRenderedPageBreak/>
        <w:t>coherente con la maximización de la riqueza del propietario. Esta regla de decisión es óptima en circunstancias ideales: flujos de efectivo ciertos e identificables, sin costos de transacción, sin impuestos y con mercados de capital perfectamente competitivos. Sin embargo, la toma de decisiones en el mundo real implica resultados futuros arriesgados o inciertos. La teoría financiera moderna considera los mercados de capitales como el mecanismo fundamental para distribuir estos riesgos. En otras palabras, el inversor individual puede construir una cartera que diversifique adecuadamente el riesgo específico del negocio, y los gestores de la empresa deberían preocuparse únicamente por el riesgo no diversificable o de mercado. Dentro de este marco teórico, los gestores de empresas que cotizan en bolsa deberían maximizar el valor para el accionista seleccionando las oportunidades de inversión con el mayor valor actual neto esperado. Aplicada rigurosamente, la teoría sugiere que dedicar recursos corporativos a la gestión de los riesgos empresariales asociados a la asignación de capital es inapropiado. Sin embargo, las empresas parecen tomarse muy en serio la gestión de riesgos: encuestas recientes muestran que los ejecutivos financieros la consideran uno de sus objetivos más importantes. Además, las actividades de gestión de riesgos corporativos parecen diferir considerablemente de las prescritas por la teoría financiera. Analizamos este dilema desde una perspectiva empírica, teórica y conductual.</w:t>
      </w:r>
    </w:p>
    <w:p w14:paraId="1A40C9C2" w14:textId="77777777" w:rsidR="000015AD" w:rsidRDefault="00A16DB7" w:rsidP="000015AD">
      <w:pPr>
        <w:spacing w:line="276" w:lineRule="auto"/>
        <w:ind w:firstLine="720"/>
        <w:jc w:val="both"/>
        <w:rPr>
          <w:rFonts w:ascii="Arial" w:hAnsi="Arial" w:cs="Arial"/>
          <w:sz w:val="22"/>
          <w:szCs w:val="22"/>
        </w:rPr>
      </w:pPr>
      <w:r w:rsidRPr="00362E4D">
        <w:rPr>
          <w:rFonts w:ascii="Arial" w:hAnsi="Arial" w:cs="Arial"/>
          <w:sz w:val="22"/>
          <w:szCs w:val="22"/>
        </w:rPr>
        <w:t xml:space="preserve">El fundamento de la teoría financiera moderna, el modelo de valoración de activos de capital (CAPM) de Sharpe [1964], </w:t>
      </w:r>
      <w:proofErr w:type="spellStart"/>
      <w:r w:rsidRPr="00362E4D">
        <w:rPr>
          <w:rFonts w:ascii="Arial" w:hAnsi="Arial" w:cs="Arial"/>
          <w:sz w:val="22"/>
          <w:szCs w:val="22"/>
        </w:rPr>
        <w:t>Lintner</w:t>
      </w:r>
      <w:proofErr w:type="spellEnd"/>
      <w:r w:rsidRPr="00362E4D">
        <w:rPr>
          <w:rFonts w:ascii="Arial" w:hAnsi="Arial" w:cs="Arial"/>
          <w:sz w:val="22"/>
          <w:szCs w:val="22"/>
        </w:rPr>
        <w:t xml:space="preserve"> [1965] y Black, Jensen y </w:t>
      </w:r>
      <w:proofErr w:type="spellStart"/>
      <w:r w:rsidRPr="00362E4D">
        <w:rPr>
          <w:rFonts w:ascii="Arial" w:hAnsi="Arial" w:cs="Arial"/>
          <w:sz w:val="22"/>
          <w:szCs w:val="22"/>
        </w:rPr>
        <w:t>Schoales</w:t>
      </w:r>
      <w:proofErr w:type="spellEnd"/>
      <w:r w:rsidRPr="00362E4D">
        <w:rPr>
          <w:rFonts w:ascii="Arial" w:hAnsi="Arial" w:cs="Arial"/>
          <w:sz w:val="22"/>
          <w:szCs w:val="22"/>
        </w:rPr>
        <w:t xml:space="preserve"> [1972], proporciona la base para determinar la tasa de descuento adecuada para ajustar los riesgos no diversificables que la propiedad de una acción en particular conlleva para la cartera diversificada del inversor. Desafortunadamente, la evidencia empírica no respalda esta teoría. Fama y French [1992] no determinaron ninguna relación detectable entre las betas de la cartera y la rentabilidad media. Roll y Ross [1994] plantean desafíos adicionales al CAPM y concluyen que «...no tiene valor práctico para diversas aplicaciones, incluyendo el cálculo del coste del capital y la construcción de carteras de inversión» (p. 115).</w:t>
      </w:r>
    </w:p>
    <w:p w14:paraId="4D93DE7C" w14:textId="25E340FC" w:rsidR="00A16DB7" w:rsidRPr="00362E4D" w:rsidRDefault="00A16DB7" w:rsidP="000015AD">
      <w:pPr>
        <w:spacing w:line="276" w:lineRule="auto"/>
        <w:ind w:firstLine="720"/>
        <w:jc w:val="both"/>
        <w:rPr>
          <w:rFonts w:ascii="Arial" w:hAnsi="Arial" w:cs="Arial"/>
          <w:sz w:val="22"/>
          <w:szCs w:val="22"/>
        </w:rPr>
      </w:pPr>
      <w:r w:rsidRPr="00362E4D">
        <w:rPr>
          <w:rFonts w:ascii="Arial" w:hAnsi="Arial" w:cs="Arial"/>
          <w:sz w:val="22"/>
          <w:szCs w:val="22"/>
        </w:rPr>
        <w:t xml:space="preserve">Incluso si se pudieran superar estas dificultades y se pudiera determinar la tasa de descuento apropiada para Phillips </w:t>
      </w:r>
      <w:proofErr w:type="spellStart"/>
      <w:r w:rsidRPr="00362E4D">
        <w:rPr>
          <w:rFonts w:ascii="Arial" w:hAnsi="Arial" w:cs="Arial"/>
          <w:sz w:val="22"/>
          <w:szCs w:val="22"/>
        </w:rPr>
        <w:t>Petroleum</w:t>
      </w:r>
      <w:proofErr w:type="spellEnd"/>
      <w:r w:rsidRPr="00362E4D">
        <w:rPr>
          <w:rFonts w:ascii="Arial" w:hAnsi="Arial" w:cs="Arial"/>
          <w:sz w:val="22"/>
          <w:szCs w:val="22"/>
        </w:rPr>
        <w:t xml:space="preserve"> Company analizando los datos del mercado, los investigadores coinciden en que esta tasa puede no ser apropiada para las diferentes divisiones de una empresa integrada (por ejemplo, inversiones </w:t>
      </w:r>
      <w:proofErr w:type="spellStart"/>
      <w:r w:rsidRPr="00362E4D">
        <w:rPr>
          <w:rFonts w:ascii="Arial" w:hAnsi="Arial" w:cs="Arial"/>
          <w:sz w:val="22"/>
          <w:szCs w:val="22"/>
        </w:rPr>
        <w:t>upstream</w:t>
      </w:r>
      <w:proofErr w:type="spellEnd"/>
      <w:r w:rsidRPr="00362E4D">
        <w:rPr>
          <w:rFonts w:ascii="Arial" w:hAnsi="Arial" w:cs="Arial"/>
          <w:sz w:val="22"/>
          <w:szCs w:val="22"/>
        </w:rPr>
        <w:t xml:space="preserve"> versus </w:t>
      </w:r>
      <w:proofErr w:type="spellStart"/>
      <w:r w:rsidRPr="00362E4D">
        <w:rPr>
          <w:rFonts w:ascii="Arial" w:hAnsi="Arial" w:cs="Arial"/>
          <w:sz w:val="22"/>
          <w:szCs w:val="22"/>
        </w:rPr>
        <w:t>downstream</w:t>
      </w:r>
      <w:proofErr w:type="spellEnd"/>
      <w:r w:rsidRPr="00362E4D">
        <w:rPr>
          <w:rFonts w:ascii="Arial" w:hAnsi="Arial" w:cs="Arial"/>
          <w:sz w:val="22"/>
          <w:szCs w:val="22"/>
        </w:rPr>
        <w:t xml:space="preserve">) y ciertamente no para una unidad específica, como su unidad Eastern </w:t>
      </w:r>
      <w:proofErr w:type="spellStart"/>
      <w:r w:rsidRPr="00362E4D">
        <w:rPr>
          <w:rFonts w:ascii="Arial" w:hAnsi="Arial" w:cs="Arial"/>
          <w:sz w:val="22"/>
          <w:szCs w:val="22"/>
        </w:rPr>
        <w:t>Onshore</w:t>
      </w:r>
      <w:proofErr w:type="spellEnd"/>
      <w:r w:rsidRPr="00362E4D">
        <w:rPr>
          <w:rFonts w:ascii="Arial" w:hAnsi="Arial" w:cs="Arial"/>
          <w:sz w:val="22"/>
          <w:szCs w:val="22"/>
        </w:rPr>
        <w:t xml:space="preserve"> </w:t>
      </w:r>
      <w:proofErr w:type="spellStart"/>
      <w:r w:rsidRPr="00362E4D">
        <w:rPr>
          <w:rFonts w:ascii="Arial" w:hAnsi="Arial" w:cs="Arial"/>
          <w:sz w:val="22"/>
          <w:szCs w:val="22"/>
        </w:rPr>
        <w:t>Exploration</w:t>
      </w:r>
      <w:proofErr w:type="spellEnd"/>
      <w:r w:rsidRPr="00362E4D">
        <w:rPr>
          <w:rFonts w:ascii="Arial" w:hAnsi="Arial" w:cs="Arial"/>
          <w:sz w:val="22"/>
          <w:szCs w:val="22"/>
        </w:rPr>
        <w:t>.</w:t>
      </w:r>
    </w:p>
    <w:p w14:paraId="71261F05" w14:textId="456C6C2F" w:rsidR="00A16DB7" w:rsidRPr="00362E4D" w:rsidRDefault="00A16DB7" w:rsidP="000015AD">
      <w:pPr>
        <w:spacing w:line="276" w:lineRule="auto"/>
        <w:ind w:firstLine="720"/>
        <w:jc w:val="both"/>
        <w:rPr>
          <w:rFonts w:ascii="Arial" w:hAnsi="Arial" w:cs="Arial"/>
          <w:sz w:val="22"/>
          <w:szCs w:val="22"/>
        </w:rPr>
      </w:pPr>
      <w:r w:rsidRPr="00362E4D">
        <w:rPr>
          <w:rFonts w:ascii="Arial" w:hAnsi="Arial" w:cs="Arial"/>
          <w:sz w:val="22"/>
          <w:szCs w:val="22"/>
        </w:rPr>
        <w:t>Finalmente, la teoría financiera sostiene que cada proyecto de inversión de capital debe tener una tasa de descuento única, determinada por su beta. Sin embargo, según Brealey y Myers [1991], aún no disponemos de un procedimiento general para estimar las betas de los proyectos. Por lo tanto, la evaluación del riesgo de un proyecto sigue siendo, en gran medida, una cuestión de improvisación.</w:t>
      </w:r>
    </w:p>
    <w:p w14:paraId="059F76D9" w14:textId="77777777" w:rsidR="000015AD" w:rsidRDefault="00A16DB7" w:rsidP="000015AD">
      <w:pPr>
        <w:spacing w:line="276" w:lineRule="auto"/>
        <w:ind w:firstLine="720"/>
        <w:jc w:val="both"/>
        <w:rPr>
          <w:rFonts w:ascii="Arial" w:hAnsi="Arial" w:cs="Arial"/>
          <w:sz w:val="22"/>
          <w:szCs w:val="22"/>
        </w:rPr>
      </w:pPr>
      <w:r w:rsidRPr="00362E4D">
        <w:rPr>
          <w:rFonts w:ascii="Arial" w:hAnsi="Arial" w:cs="Arial"/>
          <w:sz w:val="22"/>
          <w:szCs w:val="22"/>
        </w:rPr>
        <w:t>Recientemente, investigadores de la teoría de la empresa [</w:t>
      </w:r>
      <w:proofErr w:type="spellStart"/>
      <w:r w:rsidRPr="00362E4D">
        <w:rPr>
          <w:rFonts w:ascii="Arial" w:hAnsi="Arial" w:cs="Arial"/>
          <w:sz w:val="22"/>
          <w:szCs w:val="22"/>
        </w:rPr>
        <w:t>Leland</w:t>
      </w:r>
      <w:proofErr w:type="spellEnd"/>
      <w:r w:rsidRPr="00362E4D">
        <w:rPr>
          <w:rFonts w:ascii="Arial" w:hAnsi="Arial" w:cs="Arial"/>
          <w:sz w:val="22"/>
          <w:szCs w:val="22"/>
        </w:rPr>
        <w:t xml:space="preserve"> y </w:t>
      </w:r>
      <w:proofErr w:type="spellStart"/>
      <w:r w:rsidRPr="00362E4D">
        <w:rPr>
          <w:rFonts w:ascii="Arial" w:hAnsi="Arial" w:cs="Arial"/>
          <w:sz w:val="22"/>
          <w:szCs w:val="22"/>
        </w:rPr>
        <w:t>Pyle</w:t>
      </w:r>
      <w:proofErr w:type="spellEnd"/>
      <w:r w:rsidRPr="00362E4D">
        <w:rPr>
          <w:rFonts w:ascii="Arial" w:hAnsi="Arial" w:cs="Arial"/>
          <w:sz w:val="22"/>
          <w:szCs w:val="22"/>
        </w:rPr>
        <w:t xml:space="preserve">, 1977; Greenwald y Stiglitz, 1990] han analizado las implicaciones económicas y de asunción de riesgos de la información imperfecta del mercado de capitales. Los modelos de información imperfecta en los mercados financieros sugieren que la estructura y la posición financiera son importantes, una idea incompatible con el trabajo de Modigliani y Miller [1958], que sugiere que la estructura financiera es irrelevante. De hecho, Greenwald y Stiglitz argumentan que las empresas actuarán </w:t>
      </w:r>
      <w:r w:rsidRPr="00362E4D">
        <w:rPr>
          <w:rFonts w:ascii="Arial" w:hAnsi="Arial" w:cs="Arial"/>
          <w:sz w:val="22"/>
          <w:szCs w:val="22"/>
        </w:rPr>
        <w:lastRenderedPageBreak/>
        <w:t xml:space="preserve">con aversión al riesgo debido a problemas de información en el mercado de capitales, incluyendo asimetrías de información entre los proveedores de capital y los gestores de las empresas. De igual manera, las imperfecciones del mercado de capitales encarecen los fondos obtenidos externamente que los generados internamente, lo que puede justificar la gestión de riesgos. </w:t>
      </w:r>
      <w:proofErr w:type="spellStart"/>
      <w:r w:rsidRPr="00362E4D">
        <w:rPr>
          <w:rFonts w:ascii="Arial" w:hAnsi="Arial" w:cs="Arial"/>
          <w:sz w:val="22"/>
          <w:szCs w:val="22"/>
        </w:rPr>
        <w:t>Aaker</w:t>
      </w:r>
      <w:proofErr w:type="spellEnd"/>
      <w:r w:rsidRPr="00362E4D">
        <w:rPr>
          <w:rFonts w:ascii="Arial" w:hAnsi="Arial" w:cs="Arial"/>
          <w:sz w:val="22"/>
          <w:szCs w:val="22"/>
        </w:rPr>
        <w:t xml:space="preserve"> y Jacobsen [1987] descubrieron que cada componente del riesgo (empresarial y de mercado) tenía un impacto sustancial, significativo y diferente en la rentabilidad de la inversión. </w:t>
      </w:r>
      <w:proofErr w:type="spellStart"/>
      <w:r w:rsidRPr="00362E4D">
        <w:rPr>
          <w:rFonts w:ascii="Arial" w:hAnsi="Arial" w:cs="Arial"/>
          <w:sz w:val="22"/>
          <w:szCs w:val="22"/>
        </w:rPr>
        <w:t>Amit</w:t>
      </w:r>
      <w:proofErr w:type="spellEnd"/>
      <w:r w:rsidRPr="00362E4D">
        <w:rPr>
          <w:rFonts w:ascii="Arial" w:hAnsi="Arial" w:cs="Arial"/>
          <w:sz w:val="22"/>
          <w:szCs w:val="22"/>
        </w:rPr>
        <w:t xml:space="preserve"> y </w:t>
      </w:r>
      <w:proofErr w:type="spellStart"/>
      <w:r w:rsidRPr="00362E4D">
        <w:rPr>
          <w:rFonts w:ascii="Arial" w:hAnsi="Arial" w:cs="Arial"/>
          <w:sz w:val="22"/>
          <w:szCs w:val="22"/>
        </w:rPr>
        <w:t>Wirnerfelt</w:t>
      </w:r>
      <w:proofErr w:type="spellEnd"/>
      <w:r w:rsidRPr="00362E4D">
        <w:rPr>
          <w:rFonts w:ascii="Arial" w:hAnsi="Arial" w:cs="Arial"/>
          <w:sz w:val="22"/>
          <w:szCs w:val="22"/>
        </w:rPr>
        <w:t xml:space="preserve"> [1990] sugieren que las medidas de las empresas para reducir el riesgo empresarial no son incompatibles con las teorías que asumen la maximización del valor y el buen funcionamiento de los mercados de capitales. Otros trabajos teóricos en el ámbito financiero relacionados con las estrategias de cobertura corporativa [</w:t>
      </w:r>
      <w:proofErr w:type="spellStart"/>
      <w:r w:rsidRPr="00362E4D">
        <w:rPr>
          <w:rFonts w:ascii="Arial" w:hAnsi="Arial" w:cs="Arial"/>
          <w:sz w:val="22"/>
          <w:szCs w:val="22"/>
        </w:rPr>
        <w:t>Stulz</w:t>
      </w:r>
      <w:proofErr w:type="spellEnd"/>
      <w:r w:rsidRPr="00362E4D">
        <w:rPr>
          <w:rFonts w:ascii="Arial" w:hAnsi="Arial" w:cs="Arial"/>
          <w:sz w:val="22"/>
          <w:szCs w:val="22"/>
        </w:rPr>
        <w:t xml:space="preserve"> 1984; Smith y </w:t>
      </w:r>
      <w:proofErr w:type="spellStart"/>
      <w:r w:rsidRPr="00362E4D">
        <w:rPr>
          <w:rFonts w:ascii="Arial" w:hAnsi="Arial" w:cs="Arial"/>
          <w:sz w:val="22"/>
          <w:szCs w:val="22"/>
        </w:rPr>
        <w:t>Stulz</w:t>
      </w:r>
      <w:proofErr w:type="spellEnd"/>
      <w:r w:rsidRPr="00362E4D">
        <w:rPr>
          <w:rFonts w:ascii="Arial" w:hAnsi="Arial" w:cs="Arial"/>
          <w:sz w:val="22"/>
          <w:szCs w:val="22"/>
        </w:rPr>
        <w:t xml:space="preserve"> 1985; </w:t>
      </w:r>
      <w:proofErr w:type="spellStart"/>
      <w:r w:rsidRPr="00362E4D">
        <w:rPr>
          <w:rFonts w:ascii="Arial" w:hAnsi="Arial" w:cs="Arial"/>
          <w:sz w:val="22"/>
          <w:szCs w:val="22"/>
        </w:rPr>
        <w:t>Breeden</w:t>
      </w:r>
      <w:proofErr w:type="spellEnd"/>
      <w:r w:rsidRPr="00362E4D">
        <w:rPr>
          <w:rFonts w:ascii="Arial" w:hAnsi="Arial" w:cs="Arial"/>
          <w:sz w:val="22"/>
          <w:szCs w:val="22"/>
        </w:rPr>
        <w:t xml:space="preserve"> y Viswanathan 1990], una forma de comportamiento de aversión al riesgo, sugieren que el modelo tradicional de valor esperado para la toma de decisiones financieras podría no ser viable excepto bajo condiciones estrictas del mercado de capitales.</w:t>
      </w:r>
    </w:p>
    <w:p w14:paraId="30F958A8" w14:textId="77777777" w:rsidR="000015AD" w:rsidRDefault="00A16DB7" w:rsidP="000015AD">
      <w:pPr>
        <w:spacing w:line="276" w:lineRule="auto"/>
        <w:ind w:firstLine="720"/>
        <w:jc w:val="both"/>
        <w:rPr>
          <w:rFonts w:ascii="Arial" w:hAnsi="Arial" w:cs="Arial"/>
          <w:sz w:val="22"/>
          <w:szCs w:val="22"/>
        </w:rPr>
      </w:pPr>
      <w:r w:rsidRPr="00362E4D">
        <w:rPr>
          <w:rFonts w:ascii="Arial" w:hAnsi="Arial" w:cs="Arial"/>
          <w:sz w:val="22"/>
          <w:szCs w:val="22"/>
        </w:rPr>
        <w:t xml:space="preserve">Los estudios sobre la toma de decisiones arriesgadas en las organizaciones muestran que las empresas muestran un grado significativo de aversión al riesgo. March y </w:t>
      </w:r>
      <w:proofErr w:type="spellStart"/>
      <w:r w:rsidRPr="00362E4D">
        <w:rPr>
          <w:rFonts w:ascii="Arial" w:hAnsi="Arial" w:cs="Arial"/>
          <w:sz w:val="22"/>
          <w:szCs w:val="22"/>
        </w:rPr>
        <w:t>Shapira</w:t>
      </w:r>
      <w:proofErr w:type="spellEnd"/>
      <w:r w:rsidRPr="00362E4D">
        <w:rPr>
          <w:rFonts w:ascii="Arial" w:hAnsi="Arial" w:cs="Arial"/>
          <w:sz w:val="22"/>
          <w:szCs w:val="22"/>
        </w:rPr>
        <w:t xml:space="preserve"> [1987] argumentan </w:t>
      </w:r>
      <w:proofErr w:type="gramStart"/>
      <w:r w:rsidRPr="00362E4D">
        <w:rPr>
          <w:rFonts w:ascii="Arial" w:hAnsi="Arial" w:cs="Arial"/>
          <w:sz w:val="22"/>
          <w:szCs w:val="22"/>
        </w:rPr>
        <w:t>que</w:t>
      </w:r>
      <w:proofErr w:type="gramEnd"/>
      <w:r w:rsidRPr="00362E4D">
        <w:rPr>
          <w:rFonts w:ascii="Arial" w:hAnsi="Arial" w:cs="Arial"/>
          <w:sz w:val="22"/>
          <w:szCs w:val="22"/>
        </w:rPr>
        <w:t xml:space="preserve"> si el rendimiento de la empresa supera un objetivo crítico, los directivos intentan evitar acciones que resulten en un rendimiento inferior al objetivo (es decir, muestran aversión al riesgo). Aunque quizás incompatible con la maximización del patrimonio de los accionistas, este tipo de comportamiento de elección refleja un fuerte afán de supervivencia. Además, en muchas industrias, el mercado del control corporativo [Jensen y </w:t>
      </w:r>
      <w:proofErr w:type="spellStart"/>
      <w:r w:rsidRPr="00362E4D">
        <w:rPr>
          <w:rFonts w:ascii="Arial" w:hAnsi="Arial" w:cs="Arial"/>
          <w:sz w:val="22"/>
          <w:szCs w:val="22"/>
        </w:rPr>
        <w:t>Ruback</w:t>
      </w:r>
      <w:proofErr w:type="spellEnd"/>
      <w:r w:rsidRPr="00362E4D">
        <w:rPr>
          <w:rFonts w:ascii="Arial" w:hAnsi="Arial" w:cs="Arial"/>
          <w:sz w:val="22"/>
          <w:szCs w:val="22"/>
        </w:rPr>
        <w:t xml:space="preserve">, 1983] podría reforzar el énfasis en el corto plazo, ya que los altos directivos deben demostrar la viabilidad de sus empresas en cada período para conservar sus puestos. El resultado final de estas preocupaciones gerenciales podría ser una fuerte aversión a los proyectos arriesgados a corto plazo [Hayes y </w:t>
      </w:r>
      <w:proofErr w:type="spellStart"/>
      <w:r w:rsidRPr="00362E4D">
        <w:rPr>
          <w:rFonts w:ascii="Arial" w:hAnsi="Arial" w:cs="Arial"/>
          <w:sz w:val="22"/>
          <w:szCs w:val="22"/>
        </w:rPr>
        <w:t>Abernathy</w:t>
      </w:r>
      <w:proofErr w:type="spellEnd"/>
      <w:r w:rsidRPr="00362E4D">
        <w:rPr>
          <w:rFonts w:ascii="Arial" w:hAnsi="Arial" w:cs="Arial"/>
          <w:sz w:val="22"/>
          <w:szCs w:val="22"/>
        </w:rPr>
        <w:t>, 1980]. Hackett [1985] señaló que es poco realista asumir que los gerentes son meros agentes de los accionistas. En cambio, los gerentes intentan conciliar los intereses de todas las partes interesadas, incluidos ellos mismos, otros empleados, proveedores, clientes y las comunidades en las que operan.</w:t>
      </w:r>
      <w:r w:rsidR="000015AD">
        <w:rPr>
          <w:rFonts w:ascii="Arial" w:hAnsi="Arial" w:cs="Arial"/>
          <w:sz w:val="22"/>
          <w:szCs w:val="22"/>
        </w:rPr>
        <w:tab/>
      </w:r>
    </w:p>
    <w:p w14:paraId="0EB5AA81" w14:textId="4008E9AD" w:rsidR="00A16DB7" w:rsidRPr="00362E4D" w:rsidRDefault="00A16DB7" w:rsidP="000015AD">
      <w:pPr>
        <w:spacing w:line="276" w:lineRule="auto"/>
        <w:ind w:firstLine="720"/>
        <w:jc w:val="both"/>
        <w:rPr>
          <w:rFonts w:ascii="Arial" w:hAnsi="Arial" w:cs="Arial"/>
          <w:sz w:val="22"/>
          <w:szCs w:val="22"/>
        </w:rPr>
      </w:pPr>
      <w:proofErr w:type="spellStart"/>
      <w:r w:rsidRPr="00362E4D">
        <w:rPr>
          <w:rFonts w:ascii="Arial" w:hAnsi="Arial" w:cs="Arial"/>
          <w:sz w:val="22"/>
          <w:szCs w:val="22"/>
        </w:rPr>
        <w:t>Swalm</w:t>
      </w:r>
      <w:proofErr w:type="spellEnd"/>
      <w:r w:rsidRPr="00362E4D">
        <w:rPr>
          <w:rFonts w:ascii="Arial" w:hAnsi="Arial" w:cs="Arial"/>
          <w:sz w:val="22"/>
          <w:szCs w:val="22"/>
        </w:rPr>
        <w:t xml:space="preserve"> [1966] evaluó las funciones de utilidad de un grupo de 100 ejecutivos de una gran organización industrial y descubrió que presentaban una marcada aversión al riesgo. </w:t>
      </w:r>
      <w:proofErr w:type="spellStart"/>
      <w:r w:rsidRPr="00362E4D">
        <w:rPr>
          <w:rFonts w:ascii="Arial" w:hAnsi="Arial" w:cs="Arial"/>
          <w:sz w:val="22"/>
          <w:szCs w:val="22"/>
        </w:rPr>
        <w:t>Spetzler</w:t>
      </w:r>
      <w:proofErr w:type="spellEnd"/>
      <w:r w:rsidRPr="00362E4D">
        <w:rPr>
          <w:rFonts w:ascii="Arial" w:hAnsi="Arial" w:cs="Arial"/>
          <w:sz w:val="22"/>
          <w:szCs w:val="22"/>
        </w:rPr>
        <w:t xml:space="preserve"> [1968] entrevistó a 36 ejecutivos corporativos de una gran empresa industrial (una importante petrolera integrada) y detectó consistentemente actitudes de aversión al riesgo tanto entre los individuos como dentro del grupo directivo, órgano responsable de la formulación de políticas. En un estudio con ejecutivos de compañías petroleras, </w:t>
      </w:r>
      <w:proofErr w:type="spellStart"/>
      <w:r w:rsidRPr="00362E4D">
        <w:rPr>
          <w:rFonts w:ascii="Arial" w:hAnsi="Arial" w:cs="Arial"/>
          <w:sz w:val="22"/>
          <w:szCs w:val="22"/>
        </w:rPr>
        <w:t>Wehrung</w:t>
      </w:r>
      <w:proofErr w:type="spellEnd"/>
      <w:r w:rsidRPr="00362E4D">
        <w:rPr>
          <w:rFonts w:ascii="Arial" w:hAnsi="Arial" w:cs="Arial"/>
          <w:sz w:val="22"/>
          <w:szCs w:val="22"/>
        </w:rPr>
        <w:t xml:space="preserve"> [1989] descubrió que más de la mitad de los ejecutivos respondieron de forma totalmente coherente con la teoría de la utilidad esperada, y una cuarta parte adicional de los ejecutivos respondieron con un margen de error del 10 %. En Phillips </w:t>
      </w:r>
      <w:proofErr w:type="spellStart"/>
      <w:r w:rsidRPr="00362E4D">
        <w:rPr>
          <w:rFonts w:ascii="Arial" w:hAnsi="Arial" w:cs="Arial"/>
          <w:sz w:val="22"/>
          <w:szCs w:val="22"/>
        </w:rPr>
        <w:t>Petroleum</w:t>
      </w:r>
      <w:proofErr w:type="spellEnd"/>
      <w:r w:rsidRPr="00362E4D">
        <w:rPr>
          <w:rFonts w:ascii="Arial" w:hAnsi="Arial" w:cs="Arial"/>
          <w:sz w:val="22"/>
          <w:szCs w:val="22"/>
        </w:rPr>
        <w:t>, al igual que en muchas grandes empresas, los gerentes suelen evaluar técnicamente las inversiones basándose en el valor esperado. Sin embargo, al tomar decisiones reales de asignación de capital que implican inversiones de riesgo, cuyas consecuencias son significativas, muestran una marcada aversión al riesgo. El desarrollo de un modelo de asignación de capital teóricamente sólido y viable que incorpore la actitud de la empresa ante el riesgo puede contribuir significativamente a mejorar la calidad de las decisiones de presupuestación de capital.</w:t>
      </w:r>
    </w:p>
    <w:p w14:paraId="3F7CE79C" w14:textId="77777777" w:rsidR="00A16DB7" w:rsidRPr="00362E4D" w:rsidRDefault="00A16DB7" w:rsidP="00362E4D">
      <w:pPr>
        <w:spacing w:line="276" w:lineRule="auto"/>
        <w:jc w:val="both"/>
        <w:rPr>
          <w:rFonts w:ascii="Arial" w:hAnsi="Arial" w:cs="Arial"/>
          <w:sz w:val="22"/>
          <w:szCs w:val="22"/>
        </w:rPr>
      </w:pPr>
    </w:p>
    <w:p w14:paraId="0B24FF23" w14:textId="77777777" w:rsidR="00A16DB7" w:rsidRPr="00362E4D" w:rsidRDefault="00A16DB7" w:rsidP="000015AD">
      <w:pPr>
        <w:spacing w:line="276" w:lineRule="auto"/>
        <w:jc w:val="center"/>
        <w:rPr>
          <w:rFonts w:ascii="Arial" w:hAnsi="Arial" w:cs="Arial"/>
          <w:b/>
          <w:bCs/>
          <w:sz w:val="22"/>
          <w:szCs w:val="22"/>
        </w:rPr>
      </w:pPr>
      <w:r w:rsidRPr="00362E4D">
        <w:rPr>
          <w:rFonts w:ascii="Arial" w:hAnsi="Arial" w:cs="Arial"/>
          <w:b/>
          <w:bCs/>
          <w:sz w:val="22"/>
          <w:szCs w:val="22"/>
        </w:rPr>
        <w:lastRenderedPageBreak/>
        <w:t>El Problema</w:t>
      </w:r>
    </w:p>
    <w:p w14:paraId="255CA18E" w14:textId="77777777" w:rsidR="00A16DB7" w:rsidRPr="00362E4D" w:rsidRDefault="00A16DB7" w:rsidP="00362E4D">
      <w:pPr>
        <w:spacing w:line="276" w:lineRule="auto"/>
        <w:jc w:val="both"/>
        <w:rPr>
          <w:rFonts w:ascii="Arial" w:hAnsi="Arial" w:cs="Arial"/>
          <w:sz w:val="22"/>
          <w:szCs w:val="22"/>
        </w:rPr>
      </w:pPr>
    </w:p>
    <w:p w14:paraId="30B359A9" w14:textId="77777777" w:rsidR="000015AD" w:rsidRDefault="00A16DB7" w:rsidP="00362E4D">
      <w:pPr>
        <w:spacing w:line="276" w:lineRule="auto"/>
        <w:jc w:val="both"/>
        <w:rPr>
          <w:rFonts w:ascii="Arial" w:hAnsi="Arial" w:cs="Arial"/>
          <w:sz w:val="22"/>
          <w:szCs w:val="22"/>
        </w:rPr>
      </w:pPr>
      <w:r w:rsidRPr="00362E4D">
        <w:rPr>
          <w:rFonts w:ascii="Arial" w:hAnsi="Arial" w:cs="Arial"/>
          <w:sz w:val="22"/>
          <w:szCs w:val="22"/>
        </w:rPr>
        <w:t xml:space="preserve">A finales de la década de 1980 y principios de la de 1990, la unidad de Exploración Terrestre Oriental de la División Norteamericana de Phillips </w:t>
      </w:r>
      <w:proofErr w:type="spellStart"/>
      <w:r w:rsidRPr="00362E4D">
        <w:rPr>
          <w:rFonts w:ascii="Arial" w:hAnsi="Arial" w:cs="Arial"/>
          <w:sz w:val="22"/>
          <w:szCs w:val="22"/>
        </w:rPr>
        <w:t>Petroleum</w:t>
      </w:r>
      <w:proofErr w:type="spellEnd"/>
      <w:r w:rsidRPr="00362E4D">
        <w:rPr>
          <w:rFonts w:ascii="Arial" w:hAnsi="Arial" w:cs="Arial"/>
          <w:sz w:val="22"/>
          <w:szCs w:val="22"/>
        </w:rPr>
        <w:t xml:space="preserve"> Company era responsable de la exploración de petróleo y gas a lo largo de las costas este y sur de Estados Unidos, desde Nueva Inglaterra hasta Texas. La mayor parte de la exploración durante este período se realizó en aproximadamente diez tendencias geológicas (áreas con potencial petrolero) en las llanuras costeras de Texas, Luisiana, Misisipi y Alabama. La principal responsabilidad de los 10 miembros del equipo de geología y geofísica de Eastern </w:t>
      </w:r>
      <w:proofErr w:type="spellStart"/>
      <w:r w:rsidRPr="00362E4D">
        <w:rPr>
          <w:rFonts w:ascii="Arial" w:hAnsi="Arial" w:cs="Arial"/>
          <w:sz w:val="22"/>
          <w:szCs w:val="22"/>
        </w:rPr>
        <w:t>Onshore</w:t>
      </w:r>
      <w:proofErr w:type="spellEnd"/>
      <w:r w:rsidRPr="00362E4D">
        <w:rPr>
          <w:rFonts w:ascii="Arial" w:hAnsi="Arial" w:cs="Arial"/>
          <w:sz w:val="22"/>
          <w:szCs w:val="22"/>
        </w:rPr>
        <w:t xml:space="preserve"> era iniciar y desarrollar posibles proyectos de perforación en esta región. La gerencia de la división esperaba perforar de cuatro a seis prospectos al año y mantener una cartera de alta calidad de prospectos de petróleo y gas. Las actividades de exploración se llevaron a cabo en diversos entornos geológicos con distintos grados de potencial de reservas de petróleo y gas.</w:t>
      </w:r>
      <w:r w:rsidR="000015AD">
        <w:rPr>
          <w:rFonts w:ascii="Arial" w:hAnsi="Arial" w:cs="Arial"/>
          <w:sz w:val="22"/>
          <w:szCs w:val="22"/>
        </w:rPr>
        <w:tab/>
      </w:r>
    </w:p>
    <w:p w14:paraId="6513C073" w14:textId="77777777" w:rsidR="000015AD" w:rsidRDefault="00A16DB7" w:rsidP="000015AD">
      <w:pPr>
        <w:spacing w:line="276" w:lineRule="auto"/>
        <w:ind w:firstLine="720"/>
        <w:jc w:val="both"/>
        <w:rPr>
          <w:rFonts w:ascii="Arial" w:hAnsi="Arial" w:cs="Arial"/>
          <w:sz w:val="22"/>
          <w:szCs w:val="22"/>
        </w:rPr>
      </w:pPr>
      <w:r w:rsidRPr="00362E4D">
        <w:rPr>
          <w:rFonts w:ascii="Arial" w:hAnsi="Arial" w:cs="Arial"/>
          <w:sz w:val="22"/>
          <w:szCs w:val="22"/>
        </w:rPr>
        <w:t>Los gerentes se enfrentaron a dos problemas al asignar el presupuesto anual de exploración. En primer lugar, querían utilizar una medida de riesgo relativamente consistente en una amplia gama de inversiones en exploración. Por ejemplo, a menudo necesitaban comparar el riesgo y el atractivo relativo de un proyecto que ofrecía una alta probabilidad de éxito y una baja rentabilidad del valor actual neto con otro proyecto que ofrecía una probabilidad de éxito muy baja y un valor actual neto mucho mayor (Figura 1).</w:t>
      </w:r>
    </w:p>
    <w:p w14:paraId="7937A639" w14:textId="2F86E534" w:rsidR="00A16DB7" w:rsidRPr="00362E4D" w:rsidRDefault="00A16DB7" w:rsidP="000015AD">
      <w:pPr>
        <w:spacing w:line="276" w:lineRule="auto"/>
        <w:ind w:firstLine="720"/>
        <w:jc w:val="both"/>
        <w:rPr>
          <w:rFonts w:ascii="Arial" w:hAnsi="Arial" w:cs="Arial"/>
          <w:sz w:val="22"/>
          <w:szCs w:val="22"/>
        </w:rPr>
      </w:pPr>
      <w:r w:rsidRPr="00362E4D">
        <w:rPr>
          <w:rFonts w:ascii="Arial" w:hAnsi="Arial" w:cs="Arial"/>
          <w:sz w:val="22"/>
          <w:szCs w:val="22"/>
        </w:rPr>
        <w:t>Muchos exploradores argumentarían que el concepto de valor esperado, que pondera las consecuencias financieras según sus probabilidades, considera adecuadamente el riesgo. Sin embargo, para el responsable de la toma de decisiones en Phillips, el riesgo no solo dependía de la distribución de probabilidad de los resultados de las reservas, sino también de la magnitud del capital expuesto a la posibilidad de pérdida. Cuando los valores esperados de dos proyectos son iguales, el concepto de valor esperado no pondera adecuadamente la exposición de la empresa a la posibilidad de una pérdida financiera muy grande (Figura 1). Los directivos de Phillips buscaban una metodología que les permitiera equilibrar adecuadamente las posibles e inciertas ganancias y pérdidas, tanto para proyectos individuales como para grupos de proyectos.</w:t>
      </w:r>
    </w:p>
    <w:p w14:paraId="08D67350" w14:textId="62069D76" w:rsidR="00A16DB7" w:rsidRPr="00362E4D" w:rsidRDefault="00A16DB7" w:rsidP="000015AD">
      <w:pPr>
        <w:spacing w:line="276" w:lineRule="auto"/>
        <w:ind w:firstLine="720"/>
        <w:jc w:val="both"/>
        <w:rPr>
          <w:rFonts w:ascii="Arial" w:hAnsi="Arial" w:cs="Arial"/>
          <w:sz w:val="22"/>
          <w:szCs w:val="22"/>
        </w:rPr>
      </w:pPr>
      <w:r w:rsidRPr="00362E4D">
        <w:rPr>
          <w:rFonts w:ascii="Arial" w:hAnsi="Arial" w:cs="Arial"/>
          <w:sz w:val="22"/>
          <w:szCs w:val="22"/>
        </w:rPr>
        <w:t xml:space="preserve">El segundo problema que enfrentaron los gerentes fue determinar el nivel adecuado de participación en cada uno de los proyectos de exploración disponibles para la empresa. En general, la unidad Eastern </w:t>
      </w:r>
      <w:proofErr w:type="spellStart"/>
      <w:r w:rsidRPr="00362E4D">
        <w:rPr>
          <w:rFonts w:ascii="Arial" w:hAnsi="Arial" w:cs="Arial"/>
          <w:sz w:val="22"/>
          <w:szCs w:val="22"/>
        </w:rPr>
        <w:t>Onshore</w:t>
      </w:r>
      <w:proofErr w:type="spellEnd"/>
      <w:r w:rsidRPr="00362E4D">
        <w:rPr>
          <w:rFonts w:ascii="Arial" w:hAnsi="Arial" w:cs="Arial"/>
          <w:sz w:val="22"/>
          <w:szCs w:val="22"/>
        </w:rPr>
        <w:t xml:space="preserve"> </w:t>
      </w:r>
      <w:proofErr w:type="spellStart"/>
      <w:r w:rsidRPr="00362E4D">
        <w:rPr>
          <w:rFonts w:ascii="Arial" w:hAnsi="Arial" w:cs="Arial"/>
          <w:sz w:val="22"/>
          <w:szCs w:val="22"/>
        </w:rPr>
        <w:t>Exploration</w:t>
      </w:r>
      <w:proofErr w:type="spellEnd"/>
      <w:r w:rsidRPr="00362E4D">
        <w:rPr>
          <w:rFonts w:ascii="Arial" w:hAnsi="Arial" w:cs="Arial"/>
          <w:sz w:val="22"/>
          <w:szCs w:val="22"/>
        </w:rPr>
        <w:t xml:space="preserve"> de Phillips contaba con más proyectos con un valor actual neto esperado positivo que el capital de inversión disponible. La mayoría de estos proyectos formaban parte del inventario de prospectos de la compañía; sin embargo, ocasionalmente, los gerentes necesitaban evaluar proyectos disponibles a través de otras compañías. Ante las limitaciones de capital, los gestores hablaron mucho de "distribuir el riesgo" mediante la adquisición de participaciones más pequeñas en más prospectos, pero no contaban con una forma formal de cuantificar las ventajas de vender o reducir participaciones en proyectos individuales. Reconocieron que el análisis tradicional del valor esperado ofrecía poca o ninguna información sobre el valor de la diversificación. Buscaban una técnica que les permitiera cuantificar dicho valor. Querían seleccionar entre diversos proyectos de exploración con diversas características de riesgo e identificar su nivel óptimo de participación en cada proyecto. Además, </w:t>
      </w:r>
      <w:r w:rsidRPr="00362E4D">
        <w:rPr>
          <w:rFonts w:ascii="Arial" w:hAnsi="Arial" w:cs="Arial"/>
          <w:sz w:val="22"/>
          <w:szCs w:val="22"/>
        </w:rPr>
        <w:lastRenderedPageBreak/>
        <w:t>necesitaban una metodología que garantizara que el proceso utilizado para asignar el capital de exploración fuera coherente con la propensión de Phillips a asumir riesgos financieros.</w:t>
      </w:r>
    </w:p>
    <w:p w14:paraId="303995B9" w14:textId="77777777" w:rsidR="00A16DB7" w:rsidRPr="00362E4D" w:rsidRDefault="00A16DB7" w:rsidP="00362E4D">
      <w:pPr>
        <w:spacing w:line="276" w:lineRule="auto"/>
        <w:jc w:val="both"/>
        <w:rPr>
          <w:rFonts w:ascii="Arial" w:hAnsi="Arial" w:cs="Arial"/>
          <w:sz w:val="22"/>
          <w:szCs w:val="22"/>
        </w:rPr>
      </w:pPr>
    </w:p>
    <w:p w14:paraId="71AFDCD6" w14:textId="77777777" w:rsidR="00A16DB7" w:rsidRPr="00362E4D" w:rsidRDefault="00A16DB7" w:rsidP="000015AD">
      <w:pPr>
        <w:spacing w:line="276" w:lineRule="auto"/>
        <w:jc w:val="center"/>
        <w:rPr>
          <w:rFonts w:ascii="Arial" w:hAnsi="Arial" w:cs="Arial"/>
          <w:b/>
          <w:bCs/>
          <w:sz w:val="22"/>
          <w:szCs w:val="22"/>
        </w:rPr>
      </w:pPr>
      <w:r w:rsidRPr="00362E4D">
        <w:rPr>
          <w:rFonts w:ascii="Arial" w:hAnsi="Arial" w:cs="Arial"/>
          <w:b/>
          <w:bCs/>
          <w:sz w:val="22"/>
          <w:szCs w:val="22"/>
        </w:rPr>
        <w:t>Software DISCOVERY</w:t>
      </w:r>
    </w:p>
    <w:p w14:paraId="02B7FBDA" w14:textId="77777777" w:rsidR="00A16DB7" w:rsidRPr="00362E4D" w:rsidRDefault="00A16DB7" w:rsidP="00362E4D">
      <w:pPr>
        <w:spacing w:line="276" w:lineRule="auto"/>
        <w:jc w:val="both"/>
        <w:rPr>
          <w:rFonts w:ascii="Arial" w:hAnsi="Arial" w:cs="Arial"/>
          <w:sz w:val="22"/>
          <w:szCs w:val="22"/>
        </w:rPr>
      </w:pPr>
    </w:p>
    <w:p w14:paraId="4EA194A9" w14:textId="77777777" w:rsidR="000015AD" w:rsidRDefault="00A16DB7" w:rsidP="00362E4D">
      <w:pPr>
        <w:spacing w:line="276" w:lineRule="auto"/>
        <w:jc w:val="both"/>
        <w:rPr>
          <w:rFonts w:ascii="Arial" w:hAnsi="Arial" w:cs="Arial"/>
          <w:sz w:val="22"/>
          <w:szCs w:val="22"/>
        </w:rPr>
      </w:pPr>
      <w:r w:rsidRPr="00362E4D">
        <w:rPr>
          <w:rFonts w:ascii="Arial" w:hAnsi="Arial" w:cs="Arial"/>
          <w:sz w:val="22"/>
          <w:szCs w:val="22"/>
        </w:rPr>
        <w:t xml:space="preserve">Al igual que los paquetes de software tradicionales que gestionan las reservas y la economía del petróleo, el software DISCOVERY permite al personal de la división de Phillips introducir participaciones, precios de productos, gastos de capital y operativos, información sobre la declinación del yacimiento y otra información pertinente sobre la oportunidad de inversión (proyecto de perforación). Ofrece la capacidad de modelar el flujo de caja y el valor actual neto para proyectos de exploración terrestre y marítima. (La tasa de descuento utilizada por Phillips </w:t>
      </w:r>
      <w:proofErr w:type="spellStart"/>
      <w:r w:rsidRPr="00362E4D">
        <w:rPr>
          <w:rFonts w:ascii="Arial" w:hAnsi="Arial" w:cs="Arial"/>
          <w:sz w:val="22"/>
          <w:szCs w:val="22"/>
        </w:rPr>
        <w:t>Petroleum</w:t>
      </w:r>
      <w:proofErr w:type="spellEnd"/>
      <w:r w:rsidRPr="00362E4D">
        <w:rPr>
          <w:rFonts w:ascii="Arial" w:hAnsi="Arial" w:cs="Arial"/>
          <w:sz w:val="22"/>
          <w:szCs w:val="22"/>
        </w:rPr>
        <w:t xml:space="preserve"> se basa en un modelo de estimación económico y de mercado propio, desarrollado por la empresa). El usuario puede modelar las incertidumbres asociadas a cada inversión en diversos formatos. Cada uno de estos formatos está diseñado para capturar las opiniones subjetivas del usuario sobre las principales incertidumbres, que son la probabilidad de éxito y los resultados de las reservas de petróleo y gas.</w:t>
      </w:r>
    </w:p>
    <w:p w14:paraId="400407FF" w14:textId="77777777" w:rsidR="000015AD" w:rsidRDefault="00A16DB7" w:rsidP="000015AD">
      <w:pPr>
        <w:spacing w:line="276" w:lineRule="auto"/>
        <w:ind w:firstLine="720"/>
        <w:jc w:val="both"/>
        <w:rPr>
          <w:rFonts w:ascii="Arial" w:hAnsi="Arial" w:cs="Arial"/>
          <w:sz w:val="22"/>
          <w:szCs w:val="22"/>
        </w:rPr>
      </w:pPr>
      <w:r w:rsidRPr="00362E4D">
        <w:rPr>
          <w:rFonts w:ascii="Arial" w:hAnsi="Arial" w:cs="Arial"/>
          <w:sz w:val="22"/>
          <w:szCs w:val="22"/>
        </w:rPr>
        <w:t xml:space="preserve">El software DISCOVERY asume independencia probabilística entre cada uno de los proyectos modelados individualmente. Sin embargo, el usuario tiene la opción de modelar proyectos por prospecto o por </w:t>
      </w:r>
      <w:proofErr w:type="spellStart"/>
      <w:r w:rsidRPr="00362E4D">
        <w:rPr>
          <w:rFonts w:ascii="Arial" w:hAnsi="Arial" w:cs="Arial"/>
          <w:sz w:val="22"/>
          <w:szCs w:val="22"/>
        </w:rPr>
        <w:t>play</w:t>
      </w:r>
      <w:proofErr w:type="spellEnd"/>
      <w:r w:rsidRPr="00362E4D">
        <w:rPr>
          <w:rFonts w:ascii="Arial" w:hAnsi="Arial" w:cs="Arial"/>
          <w:sz w:val="22"/>
          <w:szCs w:val="22"/>
        </w:rPr>
        <w:t xml:space="preserve"> para considerar ciertas dependencias. Un prospecto es una anomalía geológica que se sabe o se cree que contiene potencial de hidrocarburos. Un </w:t>
      </w:r>
      <w:proofErr w:type="spellStart"/>
      <w:r w:rsidRPr="00362E4D">
        <w:rPr>
          <w:rFonts w:ascii="Arial" w:hAnsi="Arial" w:cs="Arial"/>
          <w:sz w:val="22"/>
          <w:szCs w:val="22"/>
        </w:rPr>
        <w:t>play</w:t>
      </w:r>
      <w:proofErr w:type="spellEnd"/>
      <w:r w:rsidRPr="00362E4D">
        <w:rPr>
          <w:rFonts w:ascii="Arial" w:hAnsi="Arial" w:cs="Arial"/>
          <w:sz w:val="22"/>
          <w:szCs w:val="22"/>
        </w:rPr>
        <w:t xml:space="preserve"> es un conjunto de prospectos geológicamente homogéneos ubicados en la misma área geográfica dentro de una cuenca petrolera. Los prospectos dentro de un mismo </w:t>
      </w:r>
      <w:proofErr w:type="spellStart"/>
      <w:r w:rsidRPr="00362E4D">
        <w:rPr>
          <w:rFonts w:ascii="Arial" w:hAnsi="Arial" w:cs="Arial"/>
          <w:sz w:val="22"/>
          <w:szCs w:val="22"/>
        </w:rPr>
        <w:t>play</w:t>
      </w:r>
      <w:proofErr w:type="spellEnd"/>
      <w:r w:rsidRPr="00362E4D">
        <w:rPr>
          <w:rFonts w:ascii="Arial" w:hAnsi="Arial" w:cs="Arial"/>
          <w:sz w:val="22"/>
          <w:szCs w:val="22"/>
        </w:rPr>
        <w:t xml:space="preserve"> pueden no ser probabilísticamente independientes. En otras palabras, los resultados de exploración podrían estar correlacionados, o el éxito de un prospecto podría depender del de otro prospecto dentro del mismo yacimiento. Si existen dependencias geológicas entre los prospectos dentro de un yacimiento, el usuario puede modelarlas al analizar el yacimiento. Si un prospecto es geológicamente independiente de otros prospectos o yacimientos, el usuario puede usar el software para modelarlo y evaluarlo independientemente de otros proyectos. Es importante destacar que DISCOVERY no permite al usuario modelar la dependencia probabilística entre otras variables, como el precio del producto. Reconocemos que la correlación entre los precios del petróleo y el gas, así como su impacto en proyectos individuales, puede afectar la selección de proyectos y la distribución óptima. El usuario puede seleccionar entre varios formatos de entrada de reservas, cada uno de los cuales utiliza un árbol de decisión único. La interfaz de usuario permite al geólogo o ingeniero de la división modelar las incertidumbres asociadas al proyecto sin necesidad de un conocimiento explícito de la estructuración del árbol de decisión; el resultado es un tratamiento eficaz del riesgo y la incertidumbre para las principales variables de interés. El software interpreta las entradas y construye un diagrama de árbol de decisión que muestra todas las alternativas de decisión y los eventos aleatorios subsiguientes asociados al problema. El programa calcula los flujos de caja y los valores actuales netos asociados con cada posible resultado modelado por el usuario (Figura 2). La visualización del árbol de decisión es </w:t>
      </w:r>
      <w:r w:rsidRPr="00362E4D">
        <w:rPr>
          <w:rFonts w:ascii="Arial" w:hAnsi="Arial" w:cs="Arial"/>
          <w:sz w:val="22"/>
          <w:szCs w:val="22"/>
        </w:rPr>
        <w:lastRenderedPageBreak/>
        <w:t>útil para los gerentes, especialmente porque muestra el costo después de impuestos de un pozo seco para cada opción, que era diferente del costo para el presupuesto de capital.</w:t>
      </w:r>
    </w:p>
    <w:p w14:paraId="57A2067A" w14:textId="146D4BDD" w:rsidR="00A16DB7" w:rsidRPr="00362E4D" w:rsidRDefault="00A16DB7" w:rsidP="000015AD">
      <w:pPr>
        <w:spacing w:line="276" w:lineRule="auto"/>
        <w:ind w:firstLine="720"/>
        <w:jc w:val="both"/>
        <w:rPr>
          <w:rFonts w:ascii="Arial" w:hAnsi="Arial" w:cs="Arial"/>
          <w:sz w:val="22"/>
          <w:szCs w:val="22"/>
        </w:rPr>
      </w:pPr>
      <w:r w:rsidRPr="00362E4D">
        <w:rPr>
          <w:rFonts w:ascii="Arial" w:hAnsi="Arial" w:cs="Arial"/>
          <w:sz w:val="22"/>
          <w:szCs w:val="22"/>
        </w:rPr>
        <w:t>Para determinar la mejor participación de la división en un proyecto de exploración determinado, los gerentes calculan una muestra de las opciones de distribución de riesgos disponibles para Phillips en cada proyecto. El software permite al usuario especificar las condiciones de compra o venta de una participación parcial en un proyecto de exploración, calculando así los acuerdos únicos de distribución de riesgos de Phillips para cada proyecto como parte del modelo general. Considera las primas financieras estimadas, las contraprestaciones en efectivo y las regalías retenidas como parte del análisis de distribución de riesgos. Además, el usuario puede modelar las condiciones específicas de un contrato de arrendamiento (un contrato de arrendamiento es una forma de distribución de riesgos mediante la cual el titular de un contrato de arrendamiento de petróleo o gas se compromete a ceder el contrato o una parte del mismo a otra empresa que se compromete a perforar la superficie arrendada; la empresa que cede la propiedad generalmente se reserva una regalía primordial y la opción de convertirla en una participación posteriormente), incluyendo cláusulas de pago y derechos de reversión. El software calcula entonces múltiples escenarios de participación basados en las especificaciones de distribución de riesgos de Phillips; esto permite a la gerencia evaluar el atractivo relativo de los diferentes niveles de participación en proyectos individuales y grupos de proyectos.</w:t>
      </w:r>
    </w:p>
    <w:p w14:paraId="6268237E" w14:textId="77777777" w:rsidR="00A16DB7" w:rsidRPr="00362E4D" w:rsidRDefault="00A16DB7" w:rsidP="00362E4D">
      <w:pPr>
        <w:spacing w:line="276" w:lineRule="auto"/>
        <w:jc w:val="both"/>
        <w:rPr>
          <w:rFonts w:ascii="Arial" w:hAnsi="Arial" w:cs="Arial"/>
          <w:sz w:val="22"/>
          <w:szCs w:val="22"/>
        </w:rPr>
      </w:pPr>
    </w:p>
    <w:p w14:paraId="6EC2BD53" w14:textId="77777777" w:rsidR="00A16DB7" w:rsidRPr="00362E4D" w:rsidRDefault="00A16DB7" w:rsidP="000015AD">
      <w:pPr>
        <w:spacing w:line="276" w:lineRule="auto"/>
        <w:jc w:val="center"/>
        <w:rPr>
          <w:rFonts w:ascii="Arial" w:hAnsi="Arial" w:cs="Arial"/>
          <w:b/>
          <w:bCs/>
          <w:sz w:val="22"/>
          <w:szCs w:val="22"/>
        </w:rPr>
      </w:pPr>
      <w:r w:rsidRPr="00362E4D">
        <w:rPr>
          <w:rFonts w:ascii="Arial" w:hAnsi="Arial" w:cs="Arial"/>
          <w:b/>
          <w:bCs/>
          <w:sz w:val="22"/>
          <w:szCs w:val="22"/>
        </w:rPr>
        <w:t>Participación Óptima</w:t>
      </w:r>
    </w:p>
    <w:p w14:paraId="3FE61156" w14:textId="77777777" w:rsidR="00A16DB7" w:rsidRPr="00362E4D" w:rsidRDefault="00A16DB7" w:rsidP="00362E4D">
      <w:pPr>
        <w:spacing w:line="276" w:lineRule="auto"/>
        <w:jc w:val="both"/>
        <w:rPr>
          <w:rFonts w:ascii="Arial" w:hAnsi="Arial" w:cs="Arial"/>
          <w:sz w:val="22"/>
          <w:szCs w:val="22"/>
        </w:rPr>
      </w:pPr>
    </w:p>
    <w:p w14:paraId="6E3C197A" w14:textId="77777777" w:rsidR="000015AD" w:rsidRDefault="00A16DB7" w:rsidP="00362E4D">
      <w:pPr>
        <w:spacing w:line="276" w:lineRule="auto"/>
        <w:jc w:val="both"/>
        <w:rPr>
          <w:rFonts w:ascii="Arial" w:hAnsi="Arial" w:cs="Arial"/>
          <w:sz w:val="22"/>
          <w:szCs w:val="22"/>
        </w:rPr>
      </w:pPr>
      <w:r w:rsidRPr="00362E4D">
        <w:rPr>
          <w:rFonts w:ascii="Arial" w:hAnsi="Arial" w:cs="Arial"/>
          <w:sz w:val="22"/>
          <w:szCs w:val="22"/>
        </w:rPr>
        <w:t xml:space="preserve">Ampliamos las ideas de </w:t>
      </w:r>
      <w:proofErr w:type="spellStart"/>
      <w:r w:rsidRPr="00362E4D">
        <w:rPr>
          <w:rFonts w:ascii="Arial" w:hAnsi="Arial" w:cs="Arial"/>
          <w:sz w:val="22"/>
          <w:szCs w:val="22"/>
        </w:rPr>
        <w:t>Von</w:t>
      </w:r>
      <w:proofErr w:type="spellEnd"/>
      <w:r w:rsidRPr="00362E4D">
        <w:rPr>
          <w:rFonts w:ascii="Arial" w:hAnsi="Arial" w:cs="Arial"/>
          <w:sz w:val="22"/>
          <w:szCs w:val="22"/>
        </w:rPr>
        <w:t xml:space="preserve"> Neumann y Morgenstern [1953] y </w:t>
      </w:r>
      <w:proofErr w:type="spellStart"/>
      <w:r w:rsidRPr="00362E4D">
        <w:rPr>
          <w:rFonts w:ascii="Arial" w:hAnsi="Arial" w:cs="Arial"/>
          <w:sz w:val="22"/>
          <w:szCs w:val="22"/>
        </w:rPr>
        <w:t>Savage</w:t>
      </w:r>
      <w:proofErr w:type="spellEnd"/>
      <w:r w:rsidRPr="00362E4D">
        <w:rPr>
          <w:rFonts w:ascii="Arial" w:hAnsi="Arial" w:cs="Arial"/>
          <w:sz w:val="22"/>
          <w:szCs w:val="22"/>
        </w:rPr>
        <w:t xml:space="preserve"> [1954] sobre la toma de decisiones racional al nivel de la empresa, donde las empresas eligen entre alternativas de riesgo con base en la teoría de la utilidad esperada (TUE), para proporcionar el marco que permita incorporar la actitud de riesgo de la empresa en los análisis de proyectos de exploración. La TUE sostiene que el atractivo de las alternativas debe depender de la probabilidad de las posibles consecuencias de cada una y de las preferencias del responsable de la toma de decisiones respecto a dichas consecuencias. Mediante la TUE, el programa DISCOVERY proporciona valoraciones de proyectos coherentes con las preferencias de riesgo del gerente de exploración de la división (que actúa como agente de la empresa), así como con las características de riesgo del conjunto de oportunidades.</w:t>
      </w:r>
    </w:p>
    <w:p w14:paraId="44D61CEB" w14:textId="77777777" w:rsidR="000015AD" w:rsidRDefault="00A16DB7" w:rsidP="000015AD">
      <w:pPr>
        <w:spacing w:line="276" w:lineRule="auto"/>
        <w:ind w:firstLine="720"/>
        <w:jc w:val="both"/>
        <w:rPr>
          <w:rFonts w:ascii="Arial" w:hAnsi="Arial" w:cs="Arial"/>
          <w:sz w:val="22"/>
          <w:szCs w:val="22"/>
        </w:rPr>
      </w:pPr>
      <w:r w:rsidRPr="00362E4D">
        <w:rPr>
          <w:rFonts w:ascii="Arial" w:hAnsi="Arial" w:cs="Arial"/>
          <w:sz w:val="22"/>
          <w:szCs w:val="22"/>
        </w:rPr>
        <w:t xml:space="preserve">El EUT resulta atractivo porque permite al gerente de exploración de Phillips utilizar una medida de valoración bastante consistente en una amplia gama de inversiones de exploración de riesgo. Si bien la gerencia evalúa proyectos con diferentes características de riesgo, la firme preferencia de la empresa por los resultados y su aversión al riesgo deben ser consistentes en el proceso de evaluación. La medida de valoración que utilizamos se conoce en EUT como equivalente de certeza: ese valor cierto para un evento incierto que quien toma las decisiones está dispuesto a aceptar en lugar de la apuesta que representa dicho evento. Es, en esencia, el valor en efectivo atribuido a una alternativa de decisión que implica resultados inciertos. El equivalente de certeza de una inversión de riesgo depende de las características de riesgo de la </w:t>
      </w:r>
      <w:r w:rsidRPr="00362E4D">
        <w:rPr>
          <w:rFonts w:ascii="Arial" w:hAnsi="Arial" w:cs="Arial"/>
          <w:sz w:val="22"/>
          <w:szCs w:val="22"/>
        </w:rPr>
        <w:lastRenderedPageBreak/>
        <w:t xml:space="preserve">inversión y de las preferencias de riesgo del responsable de la toma de </w:t>
      </w:r>
      <w:r w:rsidR="000015AD" w:rsidRPr="00362E4D">
        <w:rPr>
          <w:rFonts w:ascii="Arial" w:hAnsi="Arial" w:cs="Arial"/>
          <w:sz w:val="22"/>
          <w:szCs w:val="22"/>
        </w:rPr>
        <w:t>decisiones. La</w:t>
      </w:r>
      <w:r w:rsidR="003765D4" w:rsidRPr="00362E4D">
        <w:rPr>
          <w:rFonts w:ascii="Arial" w:hAnsi="Arial" w:cs="Arial"/>
          <w:sz w:val="22"/>
          <w:szCs w:val="22"/>
        </w:rPr>
        <w:t xml:space="preserve"> EUT nos proporciona un medio para representar las preferencias de riesgo del responsable de la toma de decisiones en forma de función de utilidad. Si bien la mayoría de las empresas desconocen sus funciones de utilidad, acotarlas o estimarlas es un enfoque práctico para obtener los beneficios de la teoría de la utilidad.</w:t>
      </w:r>
    </w:p>
    <w:p w14:paraId="3511039D" w14:textId="77777777" w:rsidR="000015AD" w:rsidRDefault="003765D4" w:rsidP="000015AD">
      <w:pPr>
        <w:spacing w:line="276" w:lineRule="auto"/>
        <w:ind w:firstLine="720"/>
        <w:jc w:val="both"/>
        <w:rPr>
          <w:rFonts w:ascii="Arial" w:hAnsi="Arial" w:cs="Arial"/>
          <w:sz w:val="22"/>
          <w:szCs w:val="22"/>
        </w:rPr>
      </w:pPr>
      <w:r w:rsidRPr="00362E4D">
        <w:rPr>
          <w:rFonts w:ascii="Arial" w:hAnsi="Arial" w:cs="Arial"/>
          <w:sz w:val="22"/>
          <w:szCs w:val="22"/>
        </w:rPr>
        <w:t>La elección de una forma funcional de utilidad fue fundamental para el desarrollo del programa DISCOVERY. Buscábamos una función de preferencia relativamente fácil de medir, una buena aproximación a otras formas generales de utilidad y útil para tratar múltiples proyectos independientes por separado (principio de aditividad del valor). Una forma común de aversión al riesgo se conoce como aversión al riesgo constante. Una persona muestra aversión al riesgo constante si su prima de riesgo (valor esperado menos el equivalente de certeza) para una apuesta no depende de la riqueza inicial del responsable de la toma de decisiones. Un caso especial de aversión al riesgo constante es la función de preferencia lineal, donde la prima de riesgo es constante en cero. La otra posibilidad es una función de utilidad con forma exponencial. Dado que la exponencial es la única forma funcional que posee las propiedades teóricas y prácticas descritas anteriormente y tiene una representación matemática conveniente, utilizamos esta forma de utilidad en el programa DISCOVERY. Sin la forma exponencial de la utilidad, el equivalente de certeza de la suma de los pagos no es igual a la suma de los equivalentes de certeza de los pagos individuales. Incluso cuando la función de utilidad exponencial no describe la actitud de quien toma las decisiones con total precisión, tiene el potencial de aproximarse a la verdadera función de utilidad.</w:t>
      </w:r>
    </w:p>
    <w:p w14:paraId="48DB740A" w14:textId="1F7A6212" w:rsidR="003765D4" w:rsidRPr="00362E4D" w:rsidRDefault="003765D4" w:rsidP="000015AD">
      <w:pPr>
        <w:spacing w:line="276" w:lineRule="auto"/>
        <w:ind w:firstLine="720"/>
        <w:jc w:val="both"/>
        <w:rPr>
          <w:rFonts w:ascii="Arial" w:hAnsi="Arial" w:cs="Arial"/>
          <w:sz w:val="22"/>
          <w:szCs w:val="22"/>
        </w:rPr>
      </w:pPr>
      <w:r w:rsidRPr="00362E4D">
        <w:rPr>
          <w:rFonts w:ascii="Arial" w:hAnsi="Arial" w:cs="Arial"/>
          <w:sz w:val="22"/>
          <w:szCs w:val="22"/>
        </w:rPr>
        <w:t>Al aceptar la propiedad de aversión constante al riesgo, podemos caracterizar la preferencia por el riesgo mediante un único número, el coeficiente de aversión al riesgo, que, en términos generales, mide la curvatura de la función de utilidad para quien toma las decisiones. Matemáticamente, el equivalente de certeza (C:) es una función del coeficiente de aversión al riesgo, c, para quien toma las decisiones y las características de riesgo (distribución de probabilidad de los resultados) de la oportunidad de inversión. Para distribuciones de probabilidad discretas, la fórmula del equivalente de certeza es:</w:t>
      </w:r>
    </w:p>
    <w:p w14:paraId="51605EC4" w14:textId="59C2F4C3" w:rsidR="000015AD" w:rsidRDefault="000015AD" w:rsidP="000015AD">
      <w:pPr>
        <w:spacing w:line="276" w:lineRule="auto"/>
        <w:jc w:val="center"/>
        <w:rPr>
          <w:rFonts w:ascii="Arial" w:hAnsi="Arial" w:cs="Arial"/>
          <w:sz w:val="22"/>
          <w:szCs w:val="22"/>
        </w:rPr>
      </w:pPr>
      <w:r w:rsidRPr="000015AD">
        <w:rPr>
          <w:rFonts w:ascii="Arial" w:hAnsi="Arial" w:cs="Arial"/>
          <w:noProof/>
          <w:sz w:val="22"/>
          <w:szCs w:val="22"/>
        </w:rPr>
        <w:drawing>
          <wp:inline distT="0" distB="0" distL="0" distR="0" wp14:anchorId="2734B6D5" wp14:editId="2C56C2A0">
            <wp:extent cx="2019582" cy="685896"/>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019582" cy="685896"/>
                    </a:xfrm>
                    <a:prstGeom prst="rect">
                      <a:avLst/>
                    </a:prstGeom>
                  </pic:spPr>
                </pic:pic>
              </a:graphicData>
            </a:graphic>
          </wp:inline>
        </w:drawing>
      </w:r>
    </w:p>
    <w:p w14:paraId="20C23587" w14:textId="77777777" w:rsidR="000015AD" w:rsidRDefault="003765D4" w:rsidP="00362E4D">
      <w:pPr>
        <w:spacing w:line="276" w:lineRule="auto"/>
        <w:jc w:val="both"/>
        <w:rPr>
          <w:rFonts w:ascii="Arial" w:hAnsi="Arial" w:cs="Arial"/>
          <w:sz w:val="22"/>
          <w:szCs w:val="22"/>
        </w:rPr>
      </w:pPr>
      <w:r w:rsidRPr="00362E4D">
        <w:rPr>
          <w:rFonts w:ascii="Arial" w:hAnsi="Arial" w:cs="Arial"/>
          <w:sz w:val="22"/>
          <w:szCs w:val="22"/>
        </w:rPr>
        <w:t>donde p, es la probabilidad del resultado i, x, es el valor del resultado 1, e In es el logaritmo natural [</w:t>
      </w:r>
      <w:proofErr w:type="spellStart"/>
      <w:r w:rsidRPr="00362E4D">
        <w:rPr>
          <w:rFonts w:ascii="Arial" w:hAnsi="Arial" w:cs="Arial"/>
          <w:sz w:val="22"/>
          <w:szCs w:val="22"/>
        </w:rPr>
        <w:t>Cozzolino</w:t>
      </w:r>
      <w:proofErr w:type="spellEnd"/>
      <w:r w:rsidRPr="00362E4D">
        <w:rPr>
          <w:rFonts w:ascii="Arial" w:hAnsi="Arial" w:cs="Arial"/>
          <w:sz w:val="22"/>
          <w:szCs w:val="22"/>
        </w:rPr>
        <w:t xml:space="preserve"> 1977]. Por ejemplo, en la Figura 2 mostramos el cálculo de los valores de equivalente de certeza, </w:t>
      </w:r>
      <w:proofErr w:type="spellStart"/>
      <w:r w:rsidRPr="00362E4D">
        <w:rPr>
          <w:rFonts w:ascii="Arial" w:hAnsi="Arial" w:cs="Arial"/>
          <w:sz w:val="22"/>
          <w:szCs w:val="22"/>
        </w:rPr>
        <w:t>Cx</w:t>
      </w:r>
      <w:proofErr w:type="spellEnd"/>
      <w:r w:rsidRPr="00362E4D">
        <w:rPr>
          <w:rFonts w:ascii="Arial" w:hAnsi="Arial" w:cs="Arial"/>
          <w:sz w:val="22"/>
          <w:szCs w:val="22"/>
        </w:rPr>
        <w:t xml:space="preserve">, para las alternativas de decisión primarias, simulacro con 100% de participación y simulacro con 50% de participación. Sobre la base del valor esperado, la opción del 100% es la alternativa dominante, $1,730 M versus $1,100 M. Para calcular los equivalentes de certeza, </w:t>
      </w:r>
      <w:proofErr w:type="spellStart"/>
      <w:r w:rsidRPr="00362E4D">
        <w:rPr>
          <w:rFonts w:ascii="Arial" w:hAnsi="Arial" w:cs="Arial"/>
          <w:sz w:val="22"/>
          <w:szCs w:val="22"/>
        </w:rPr>
        <w:t>Cx</w:t>
      </w:r>
      <w:proofErr w:type="spellEnd"/>
      <w:r w:rsidRPr="00362E4D">
        <w:rPr>
          <w:rFonts w:ascii="Arial" w:hAnsi="Arial" w:cs="Arial"/>
          <w:sz w:val="22"/>
          <w:szCs w:val="22"/>
        </w:rPr>
        <w:t>, para cada alternativa, utilizamos el procedimiento de reversión del árbol de decisión, ecuación 1 y un coeficiente de aversión al riesgo, c, igual a 0.06 X 10-6. La alternativa de decisión de 50% de participación ahora domina con un valor de equivalente de certeza de $720 M, versus $560 M para la participación del 100%. Este ejemplo muestra que cuando la empresa incorpora su voluntad de asumir riesgos financieros en el modelo de valoración, vis-à-</w:t>
      </w:r>
      <w:r w:rsidRPr="00362E4D">
        <w:rPr>
          <w:rFonts w:ascii="Arial" w:hAnsi="Arial" w:cs="Arial"/>
          <w:sz w:val="22"/>
          <w:szCs w:val="22"/>
        </w:rPr>
        <w:lastRenderedPageBreak/>
        <w:t>vis la ecuación 1, la alternativa preferida puede no ser consistente con el análisis del valor esperado. Para explorar el impacto de las diferentes actitudes ante el riesgo, los gerentes de Phillips utilizan DISCOVERY para calcular equivalentes de certeza en diferentes niveles de aversión al riesgo, c, para un proyecto determinado. Comparan el atractivo de diversos escenarios de distribución de riesgos para un proyecto utilizando la comparación de perfiles de riesgo del programa (Figura 3). Cabe destacar que la curva de perfil de riesgo muestra el equivalente de certeza para muchas empresas, ya que es un gráfico del equivalente de certeza frente al coeficiente de aversión al riesgo.</w:t>
      </w:r>
    </w:p>
    <w:p w14:paraId="61DF237D" w14:textId="5AF5BF8C" w:rsidR="000015AD" w:rsidRDefault="003765D4" w:rsidP="000015AD">
      <w:pPr>
        <w:spacing w:line="276" w:lineRule="auto"/>
        <w:ind w:firstLine="720"/>
        <w:jc w:val="both"/>
        <w:rPr>
          <w:rFonts w:ascii="Arial" w:hAnsi="Arial" w:cs="Arial"/>
          <w:sz w:val="22"/>
          <w:szCs w:val="22"/>
        </w:rPr>
      </w:pPr>
      <w:r w:rsidRPr="00362E4D">
        <w:rPr>
          <w:rFonts w:ascii="Arial" w:hAnsi="Arial" w:cs="Arial"/>
          <w:sz w:val="22"/>
          <w:szCs w:val="22"/>
        </w:rPr>
        <w:t>La curva del perfil de riesgo proporciona a la gerencia de Phillips una medida del impacto de una mayor aversión al riesgo en el valor en efectivo del proyecto con diferentes niveles de participación. La abrupta disminución del valor equivalente de certeza con respecto a la aversión al riesgo para la opción de participación del 100%, en comparación con la del 50%, proporciona al responsable de la toma de decisiones una idea del riesgo relativo de estos niveles de participación. Anteriormente, los gerentes solo revisaban los valores asociados con el nivel de aversión al riesgo cero, que equivale al análisis del valor esperado. Esta comparación les resultó útil para comprender cómo la elección de un nivel de participación se vio afectada por la propensión de Phillips a asumir riesgo financiero, medida por el coeficiente de aversión al riesgo, c.</w:t>
      </w:r>
    </w:p>
    <w:p w14:paraId="22601438" w14:textId="77777777" w:rsidR="000015AD" w:rsidRDefault="003765D4" w:rsidP="000015AD">
      <w:pPr>
        <w:spacing w:line="276" w:lineRule="auto"/>
        <w:ind w:firstLine="720"/>
        <w:jc w:val="both"/>
        <w:rPr>
          <w:rFonts w:ascii="Arial" w:hAnsi="Arial" w:cs="Arial"/>
          <w:sz w:val="22"/>
          <w:szCs w:val="22"/>
        </w:rPr>
      </w:pPr>
      <w:r w:rsidRPr="00362E4D">
        <w:rPr>
          <w:rFonts w:ascii="Arial" w:hAnsi="Arial" w:cs="Arial"/>
          <w:sz w:val="22"/>
          <w:szCs w:val="22"/>
        </w:rPr>
        <w:t xml:space="preserve">De igual manera, los gerentes podían evaluar los equivalentes de certeza para cada opción de distribución de riesgos con coeficientes específicos de aversión al riesgo. Dado que habían evaluado, dentro de un rango razonable, el coeficiente de aversión al riesgo que representaba sus preferencias, </w:t>
      </w:r>
      <w:proofErr w:type="gramStart"/>
      <w:r w:rsidRPr="00362E4D">
        <w:rPr>
          <w:rFonts w:ascii="Arial" w:hAnsi="Arial" w:cs="Arial"/>
          <w:sz w:val="22"/>
          <w:szCs w:val="22"/>
        </w:rPr>
        <w:t>podían</w:t>
      </w:r>
      <w:proofErr w:type="gramEnd"/>
      <w:r w:rsidRPr="00362E4D">
        <w:rPr>
          <w:rFonts w:ascii="Arial" w:hAnsi="Arial" w:cs="Arial"/>
          <w:sz w:val="22"/>
          <w:szCs w:val="22"/>
        </w:rPr>
        <w:t xml:space="preserve"> determinar la distribución óptima para cualquier proyecto, coherente con dichas preferencias (Figura 4). Los gerentes también pudieron observar la sensibilidad de la distribución óptima al nivel de aversión al riesgo. Detectaron rápidamente que la sensibilidad del coeficiente de aversión al riesgo a la opción óptima estaba estrechamente relacionada con las características de riesgo del proyecto. En términos de la cuota óptima, los proyectos relativamente económicos con alta probabilidad de éxito fueron insensibles al nivel de aversión al riesgo. Por el contrario, los proyectos que requerían una cantidad relativamente alta de capital de riesgo con baja probabilidad de éxito fueron altamente sensibles al coeficiente de aversión al riesgo. Sin embargo, observamos que, para todos los prospectos en el área terrestre de la Costa del Golfo, la preferencia de la gerencia por un porcentaje de participación en la explotación podía estar representada por un rango estrecho de coeficientes de aversión al riesgo.</w:t>
      </w:r>
    </w:p>
    <w:p w14:paraId="612BC57A" w14:textId="01047097" w:rsidR="003765D4" w:rsidRPr="00362E4D" w:rsidRDefault="003765D4" w:rsidP="000015AD">
      <w:pPr>
        <w:spacing w:line="276" w:lineRule="auto"/>
        <w:ind w:firstLine="720"/>
        <w:jc w:val="both"/>
        <w:rPr>
          <w:rFonts w:ascii="Arial" w:hAnsi="Arial" w:cs="Arial"/>
          <w:sz w:val="22"/>
          <w:szCs w:val="22"/>
        </w:rPr>
      </w:pPr>
      <w:r w:rsidRPr="00362E4D">
        <w:rPr>
          <w:rFonts w:ascii="Arial" w:hAnsi="Arial" w:cs="Arial"/>
          <w:sz w:val="22"/>
          <w:szCs w:val="22"/>
        </w:rPr>
        <w:t>Para prospectos individuales, los gerentes usan el software para evaluar cómo podrían reducir el riesgo si obtuvieran información sísmica adicional. El software calcula el valor de la información adicional sobre la base del valor esperado, así como la equivalencia de certeza. En algunos casos, el valor esperado aumentó como resultado de la información sísmica adicional; sin embargo, en muchos de estos casos el análisis del equivalente de certeza indicó que era más apropiado para Phillips participar en un nivel inferior en lugar de invertir en más datos sísmicos. En otros casos, sin embargo, los gerentes encontraron que un estudio sísmico 3D sería una excelente inversión en términos del análisis de equivalente de certeza y procedieron a disparar. La gerencia ha encontrado, en general, que el análisis de equivalente de certeza proporciona una rica perspectiva de las compensaciones entre el costo de la información adicional y su impacto en las características generales de riesgo del proyecto de exploración.</w:t>
      </w:r>
    </w:p>
    <w:p w14:paraId="4CAE24DC" w14:textId="77777777" w:rsidR="003765D4" w:rsidRPr="00362E4D" w:rsidRDefault="003765D4" w:rsidP="00362E4D">
      <w:pPr>
        <w:spacing w:line="276" w:lineRule="auto"/>
        <w:jc w:val="both"/>
        <w:rPr>
          <w:rFonts w:ascii="Arial" w:hAnsi="Arial" w:cs="Arial"/>
          <w:sz w:val="22"/>
          <w:szCs w:val="22"/>
        </w:rPr>
      </w:pPr>
    </w:p>
    <w:p w14:paraId="41558B3F" w14:textId="77777777" w:rsidR="003765D4" w:rsidRPr="00362E4D" w:rsidRDefault="003765D4" w:rsidP="000015AD">
      <w:pPr>
        <w:spacing w:line="276" w:lineRule="auto"/>
        <w:jc w:val="center"/>
        <w:rPr>
          <w:rFonts w:ascii="Arial" w:hAnsi="Arial" w:cs="Arial"/>
          <w:b/>
          <w:bCs/>
          <w:sz w:val="22"/>
          <w:szCs w:val="22"/>
        </w:rPr>
      </w:pPr>
      <w:r w:rsidRPr="00362E4D">
        <w:rPr>
          <w:rFonts w:ascii="Arial" w:hAnsi="Arial" w:cs="Arial"/>
          <w:b/>
          <w:bCs/>
          <w:sz w:val="22"/>
          <w:szCs w:val="22"/>
        </w:rPr>
        <w:t>Clasificación de Proyectos: Un Enfoque de Equivalente de Certeza</w:t>
      </w:r>
    </w:p>
    <w:p w14:paraId="09CBD8B7" w14:textId="77777777" w:rsidR="003765D4" w:rsidRPr="00362E4D" w:rsidRDefault="003765D4" w:rsidP="00362E4D">
      <w:pPr>
        <w:spacing w:line="276" w:lineRule="auto"/>
        <w:jc w:val="both"/>
        <w:rPr>
          <w:rFonts w:ascii="Arial" w:hAnsi="Arial" w:cs="Arial"/>
          <w:sz w:val="22"/>
          <w:szCs w:val="22"/>
        </w:rPr>
      </w:pPr>
    </w:p>
    <w:p w14:paraId="506A606F" w14:textId="77777777" w:rsidR="000015AD" w:rsidRDefault="003765D4" w:rsidP="00362E4D">
      <w:pPr>
        <w:spacing w:line="276" w:lineRule="auto"/>
        <w:jc w:val="both"/>
        <w:rPr>
          <w:rFonts w:ascii="Arial" w:hAnsi="Arial" w:cs="Arial"/>
          <w:sz w:val="22"/>
          <w:szCs w:val="22"/>
        </w:rPr>
      </w:pPr>
      <w:r w:rsidRPr="00362E4D">
        <w:rPr>
          <w:rFonts w:ascii="Arial" w:hAnsi="Arial" w:cs="Arial"/>
          <w:sz w:val="22"/>
          <w:szCs w:val="22"/>
        </w:rPr>
        <w:t>Dado que el capital era limitado, la gerencia quería clasificar los proyectos de exploración e identificar los niveles óptimos de participación. Además, la empresa buscaba un modelo de valoración que le permitiera evaluar los proyectos a medida que estuvieran disponibles. Si bien evaluar las inversiones en un contexto de cartera puede ser ideal, Phillips aprendió sobre las oportunidades de inversión de forma gradual, lo que obligó a la gerencia a evaluar los proyectos a lo largo del año fiscal. Utiliza DISCOVERY para evaluar las oportunidades de inversión de forma consistente a medida que se hacen disponibles. El administrador puede seleccionar entre 45 coeficientes de aversión al riesgo para clasificar los proyectos según su equivalente de certeza. Para varios proyectos y un nivel de aversión al riesgo específico, el software identifica la opción de distribución de riesgos asociada con el equivalente de certeza más alto para cada proyecto y, a continuación, clasifica los proyectos en orden descendente según dicho valor. (En la Figura 5, los proyectos se basan en oportunidades de perforación reales disponibles para Phillips entre 1990 y 1992; sin embargo, para proteger la confidencialidad, hemos modificado los nombres y las características financieras especiales para que los prospectos representen equivalentes genéricos de las principales tendencias geológicas que se exploraron durante esos años).</w:t>
      </w:r>
    </w:p>
    <w:p w14:paraId="2F27F089" w14:textId="77777777" w:rsidR="000015AD" w:rsidRDefault="003765D4" w:rsidP="000015AD">
      <w:pPr>
        <w:spacing w:line="276" w:lineRule="auto"/>
        <w:ind w:firstLine="720"/>
        <w:jc w:val="both"/>
        <w:rPr>
          <w:rFonts w:ascii="Arial" w:hAnsi="Arial" w:cs="Arial"/>
          <w:sz w:val="22"/>
          <w:szCs w:val="22"/>
        </w:rPr>
      </w:pPr>
      <w:r w:rsidRPr="00362E4D">
        <w:rPr>
          <w:rFonts w:ascii="Arial" w:hAnsi="Arial" w:cs="Arial"/>
          <w:sz w:val="22"/>
          <w:szCs w:val="22"/>
        </w:rPr>
        <w:t xml:space="preserve">En comparación con el análisis del valor esperado, se observan cambios importantes en la clasificación general de los proyectos al considerar el análisis de equivalentes de certeza. El prospecto del sur de Luisiana, por ejemplo, se clasificó como el número 1 en valor esperado, pero se ubicó en el número 8 en equivalentes de certeza. El prospecto </w:t>
      </w:r>
      <w:proofErr w:type="spellStart"/>
      <w:r w:rsidRPr="00362E4D">
        <w:rPr>
          <w:rFonts w:ascii="Arial" w:hAnsi="Arial" w:cs="Arial"/>
          <w:sz w:val="22"/>
          <w:szCs w:val="22"/>
        </w:rPr>
        <w:t>Smackover</w:t>
      </w:r>
      <w:proofErr w:type="spellEnd"/>
      <w:r w:rsidRPr="00362E4D">
        <w:rPr>
          <w:rFonts w:ascii="Arial" w:hAnsi="Arial" w:cs="Arial"/>
          <w:sz w:val="22"/>
          <w:szCs w:val="22"/>
        </w:rPr>
        <w:t xml:space="preserve">, que se ubicó en el número 7 en valor esperado, ascendió al número 1 en equivalentes de certeza. </w:t>
      </w:r>
      <w:proofErr w:type="gramStart"/>
      <w:r w:rsidRPr="00362E4D">
        <w:rPr>
          <w:rFonts w:ascii="Arial" w:hAnsi="Arial" w:cs="Arial"/>
          <w:sz w:val="22"/>
          <w:szCs w:val="22"/>
        </w:rPr>
        <w:t>Igualmente</w:t>
      </w:r>
      <w:proofErr w:type="gramEnd"/>
      <w:r w:rsidRPr="00362E4D">
        <w:rPr>
          <w:rFonts w:ascii="Arial" w:hAnsi="Arial" w:cs="Arial"/>
          <w:sz w:val="22"/>
          <w:szCs w:val="22"/>
        </w:rPr>
        <w:t xml:space="preserve"> importante para la gerencia fue la identificación, por parte del software, de la participación óptima de la empresa en cada proyecto, basándose en sus preferencias de riesgo. Por ejemplo, para el prospecto del sur de Luisiana, el nivel óptimo de participación para Phillips se redujo del 100 % al 12,5 %.</w:t>
      </w:r>
    </w:p>
    <w:p w14:paraId="61B85FBF" w14:textId="675B1694" w:rsidR="003765D4" w:rsidRPr="00362E4D" w:rsidRDefault="003765D4" w:rsidP="000015AD">
      <w:pPr>
        <w:spacing w:line="276" w:lineRule="auto"/>
        <w:ind w:firstLine="720"/>
        <w:jc w:val="both"/>
        <w:rPr>
          <w:rFonts w:ascii="Arial" w:hAnsi="Arial" w:cs="Arial"/>
          <w:sz w:val="22"/>
          <w:szCs w:val="22"/>
        </w:rPr>
      </w:pPr>
      <w:r w:rsidRPr="00362E4D">
        <w:rPr>
          <w:rFonts w:ascii="Arial" w:hAnsi="Arial" w:cs="Arial"/>
          <w:sz w:val="22"/>
          <w:szCs w:val="22"/>
        </w:rPr>
        <w:t>Al utilizar el informe de clasificación de prospectos con diferentes coeficientes de aversión al riesgo, los gerentes comprenden las características de riesgo de los proyectos de la empresa y su sensibilidad a los cambios en la propensión al riesgo. También examinan la sensibilidad de los resultados reportados a los cambios en las características de los prospectos. Por ejemplo, analizan el impacto en la equivalencia de certeza, la clasificación del proyecto y la cuota óptima si se redujeran los costos o se aumentara la probabilidad de éxito. Realizan muchos de los mismos análisis de sensibilidad que cualquier persona podría realizar en un proyecto de capital, pero en lugar de analizar únicamente el valor esperado, examinan los equivalentes de certeza, que incorporan la sensibilidad de la empresa a la aversión al riesgo.</w:t>
      </w:r>
    </w:p>
    <w:p w14:paraId="076FCEBE" w14:textId="77777777" w:rsidR="000015AD" w:rsidRDefault="003765D4" w:rsidP="000015AD">
      <w:pPr>
        <w:spacing w:line="276" w:lineRule="auto"/>
        <w:ind w:firstLine="720"/>
        <w:jc w:val="both"/>
        <w:rPr>
          <w:rFonts w:ascii="Arial" w:hAnsi="Arial" w:cs="Arial"/>
          <w:sz w:val="22"/>
          <w:szCs w:val="22"/>
        </w:rPr>
      </w:pPr>
      <w:r w:rsidRPr="00362E4D">
        <w:rPr>
          <w:rFonts w:ascii="Arial" w:hAnsi="Arial" w:cs="Arial"/>
          <w:sz w:val="22"/>
          <w:szCs w:val="22"/>
        </w:rPr>
        <w:t xml:space="preserve">Los gerentes también pueden revisar los informes de flujo de caja del paquete de proyectos recomendado por DISCOVERY para ver cómo este afecta las limitaciones de capital de la unidad de exploración. Pueden generar estos análisis basándose en el valor esperado o suponiendo que todos los proyectos fueron exitosos. Si bien el modelo DISCOVERY no optimiza </w:t>
      </w:r>
      <w:r w:rsidRPr="00362E4D">
        <w:rPr>
          <w:rFonts w:ascii="Arial" w:hAnsi="Arial" w:cs="Arial"/>
          <w:sz w:val="22"/>
          <w:szCs w:val="22"/>
        </w:rPr>
        <w:lastRenderedPageBreak/>
        <w:t xml:space="preserve">explícitamente el paquete de prospectos según las limitaciones de capital de la unidad, existe una relación implícita entre el nivel de aversión al riesgo utilizado y los recursos de capital disponibles. (La gestión de caja no era responsabilidad de la unidad de exploración individual dentro de Phillips </w:t>
      </w:r>
      <w:proofErr w:type="spellStart"/>
      <w:r w:rsidRPr="00362E4D">
        <w:rPr>
          <w:rFonts w:ascii="Arial" w:hAnsi="Arial" w:cs="Arial"/>
          <w:sz w:val="22"/>
          <w:szCs w:val="22"/>
        </w:rPr>
        <w:t>Petroleum</w:t>
      </w:r>
      <w:proofErr w:type="spellEnd"/>
      <w:r w:rsidRPr="00362E4D">
        <w:rPr>
          <w:rFonts w:ascii="Arial" w:hAnsi="Arial" w:cs="Arial"/>
          <w:sz w:val="22"/>
          <w:szCs w:val="22"/>
        </w:rPr>
        <w:t>. Sin embargo, los análisis de flujo de caja generados por DISCOVERY para los proyectos recomendados estaban disponibles para la oficina corporativa para su incorporación en un modelo de flujo de caja para toda la empresa).</w:t>
      </w:r>
    </w:p>
    <w:p w14:paraId="6CAB60CE" w14:textId="7AB4DC2E" w:rsidR="003765D4" w:rsidRPr="00362E4D" w:rsidRDefault="003765D4" w:rsidP="000015AD">
      <w:pPr>
        <w:spacing w:line="276" w:lineRule="auto"/>
        <w:ind w:firstLine="720"/>
        <w:jc w:val="both"/>
        <w:rPr>
          <w:rFonts w:ascii="Arial" w:hAnsi="Arial" w:cs="Arial"/>
          <w:sz w:val="22"/>
          <w:szCs w:val="22"/>
        </w:rPr>
      </w:pPr>
      <w:r w:rsidRPr="00362E4D">
        <w:rPr>
          <w:rFonts w:ascii="Arial" w:hAnsi="Arial" w:cs="Arial"/>
          <w:sz w:val="22"/>
          <w:szCs w:val="22"/>
        </w:rPr>
        <w:t>Si bien los gerentes de Phillips tenían un profundo conocimiento del riesgo de los proyectos, el software les proporciona un método formalizado y sistemático para evaluar su riesgo relativo. Cuando el capital de exploración es limitado, los gerentes pueden usar el informe de clasificación de prospectos para asignar recursos e identificar la participación óptima de la empresa en un conjunto diverso de inversiones riesgosas. Como resultado, el método de clasificación por equivalente de certeza se aproxima mucho más a la toma de decisiones real dentro de Phillips que la clasificación por valor esperado.</w:t>
      </w:r>
    </w:p>
    <w:p w14:paraId="00DE49C8" w14:textId="77777777" w:rsidR="003765D4" w:rsidRPr="00362E4D" w:rsidRDefault="003765D4" w:rsidP="00362E4D">
      <w:pPr>
        <w:spacing w:line="276" w:lineRule="auto"/>
        <w:jc w:val="both"/>
        <w:rPr>
          <w:rFonts w:ascii="Arial" w:hAnsi="Arial" w:cs="Arial"/>
          <w:b/>
          <w:bCs/>
          <w:sz w:val="22"/>
          <w:szCs w:val="22"/>
        </w:rPr>
      </w:pPr>
    </w:p>
    <w:p w14:paraId="49465FCD" w14:textId="77777777" w:rsidR="003765D4" w:rsidRPr="00362E4D" w:rsidRDefault="003765D4" w:rsidP="000015AD">
      <w:pPr>
        <w:spacing w:line="276" w:lineRule="auto"/>
        <w:jc w:val="center"/>
        <w:rPr>
          <w:rFonts w:ascii="Arial" w:hAnsi="Arial" w:cs="Arial"/>
          <w:b/>
          <w:bCs/>
          <w:sz w:val="22"/>
          <w:szCs w:val="22"/>
        </w:rPr>
      </w:pPr>
      <w:r w:rsidRPr="00362E4D">
        <w:rPr>
          <w:rFonts w:ascii="Arial" w:hAnsi="Arial" w:cs="Arial"/>
          <w:b/>
          <w:bCs/>
          <w:sz w:val="22"/>
          <w:szCs w:val="22"/>
        </w:rPr>
        <w:t>Medición de la Aversión al Riesgo</w:t>
      </w:r>
    </w:p>
    <w:p w14:paraId="2BD60D85" w14:textId="77777777" w:rsidR="003765D4" w:rsidRPr="00362E4D" w:rsidRDefault="003765D4" w:rsidP="00362E4D">
      <w:pPr>
        <w:spacing w:line="276" w:lineRule="auto"/>
        <w:jc w:val="both"/>
        <w:rPr>
          <w:rFonts w:ascii="Arial" w:hAnsi="Arial" w:cs="Arial"/>
          <w:sz w:val="22"/>
          <w:szCs w:val="22"/>
        </w:rPr>
      </w:pPr>
    </w:p>
    <w:p w14:paraId="784C3E70" w14:textId="77777777" w:rsidR="000015AD" w:rsidRDefault="003765D4" w:rsidP="00362E4D">
      <w:pPr>
        <w:spacing w:line="276" w:lineRule="auto"/>
        <w:jc w:val="both"/>
        <w:rPr>
          <w:rFonts w:ascii="Arial" w:hAnsi="Arial" w:cs="Arial"/>
          <w:sz w:val="22"/>
          <w:szCs w:val="22"/>
        </w:rPr>
      </w:pPr>
      <w:r w:rsidRPr="00362E4D">
        <w:rPr>
          <w:rFonts w:ascii="Arial" w:hAnsi="Arial" w:cs="Arial"/>
          <w:sz w:val="22"/>
          <w:szCs w:val="22"/>
        </w:rPr>
        <w:t xml:space="preserve">Medir la tolerancia al riesgo de la empresa y representarla como una función de utilidad es fundamental para utilizar este tipo de marco de análisis de decisiones. Howard [1988] y </w:t>
      </w:r>
      <w:proofErr w:type="spellStart"/>
      <w:r w:rsidRPr="00362E4D">
        <w:rPr>
          <w:rFonts w:ascii="Arial" w:hAnsi="Arial" w:cs="Arial"/>
          <w:sz w:val="22"/>
          <w:szCs w:val="22"/>
        </w:rPr>
        <w:t>Cozzolino</w:t>
      </w:r>
      <w:proofErr w:type="spellEnd"/>
      <w:r w:rsidRPr="00362E4D">
        <w:rPr>
          <w:rFonts w:ascii="Arial" w:hAnsi="Arial" w:cs="Arial"/>
          <w:sz w:val="22"/>
          <w:szCs w:val="22"/>
        </w:rPr>
        <w:t xml:space="preserve"> [1977] sugieren que existe una relación entre ciertas medidas financieras (patrimonio neto, beneficio neto, tamaño del presupuesto de capital, etc.) y el coeficiente de aversión al riesgo de la empresa, c, en la función de utilidad exponencial. Howard sugiere que, al menos en ciertas industrias, podríamos utilizar los estados financieros para desarrollar directrices que permitan establecer niveles aceptables de aversión al riesgo.</w:t>
      </w:r>
    </w:p>
    <w:p w14:paraId="5BFA5002" w14:textId="77777777" w:rsidR="000015AD" w:rsidRDefault="003765D4" w:rsidP="000015AD">
      <w:pPr>
        <w:spacing w:line="276" w:lineRule="auto"/>
        <w:ind w:firstLine="720"/>
        <w:jc w:val="both"/>
        <w:rPr>
          <w:rFonts w:ascii="Arial" w:hAnsi="Arial" w:cs="Arial"/>
          <w:sz w:val="22"/>
          <w:szCs w:val="22"/>
        </w:rPr>
      </w:pPr>
      <w:r w:rsidRPr="00362E4D">
        <w:rPr>
          <w:rFonts w:ascii="Arial" w:hAnsi="Arial" w:cs="Arial"/>
          <w:sz w:val="22"/>
          <w:szCs w:val="22"/>
        </w:rPr>
        <w:t xml:space="preserve">La revisión de decisiones de asignación anteriores en condiciones de riesgo e incertidumbre proporciona otro medio para evaluar la función de utilidad de la empresa. En un estudio de un reciente proyecto de licitación offshore para BP </w:t>
      </w:r>
      <w:proofErr w:type="spellStart"/>
      <w:r w:rsidRPr="00362E4D">
        <w:rPr>
          <w:rFonts w:ascii="Arial" w:hAnsi="Arial" w:cs="Arial"/>
          <w:sz w:val="22"/>
          <w:szCs w:val="22"/>
        </w:rPr>
        <w:t>Exploration</w:t>
      </w:r>
      <w:proofErr w:type="spellEnd"/>
      <w:r w:rsidRPr="00362E4D">
        <w:rPr>
          <w:rFonts w:ascii="Arial" w:hAnsi="Arial" w:cs="Arial"/>
          <w:sz w:val="22"/>
          <w:szCs w:val="22"/>
        </w:rPr>
        <w:t xml:space="preserve">, Inc., </w:t>
      </w:r>
      <w:proofErr w:type="spellStart"/>
      <w:r w:rsidRPr="00362E4D">
        <w:rPr>
          <w:rFonts w:ascii="Arial" w:hAnsi="Arial" w:cs="Arial"/>
          <w:sz w:val="22"/>
          <w:szCs w:val="22"/>
        </w:rPr>
        <w:t>Wilkerson</w:t>
      </w:r>
      <w:proofErr w:type="spellEnd"/>
      <w:r w:rsidRPr="00362E4D">
        <w:rPr>
          <w:rFonts w:ascii="Arial" w:hAnsi="Arial" w:cs="Arial"/>
          <w:sz w:val="22"/>
          <w:szCs w:val="22"/>
        </w:rPr>
        <w:t xml:space="preserve"> [1988] encontró que la empresa analizó 60 oportunidades de inversión (bloques de licitación) con diversos grados de riesgo; las 60 inversiones tenían valores actuales netos esperados positivos. Debido a limitaciones de capital, la empresa decidió licitar solo en 48 de los 60 bloques y, de los 48, decidió conservar una participación del 100% en solo ocho de ellos. El análisis de estos datos sugirió que el parámetro de riesgo implícito de la empresa, c, en la función de utilidad exponencial era de aproximadamente 0,033 X 10-6. Una salvedad con respecto a este estudio es que la empresa probablemente tenía algunos compromisos de perforación previos, sesgos sobre ciertos bloques exploratorios u otros problemas de confusión que pueden haber afectado la estimación del coeficiente de aversión al riesgo para este conjunto de decisiones.</w:t>
      </w:r>
    </w:p>
    <w:p w14:paraId="727E41E3" w14:textId="77777777" w:rsidR="000015AD" w:rsidRDefault="003765D4" w:rsidP="000015AD">
      <w:pPr>
        <w:spacing w:line="276" w:lineRule="auto"/>
        <w:ind w:firstLine="720"/>
        <w:jc w:val="both"/>
        <w:rPr>
          <w:rFonts w:ascii="Arial" w:hAnsi="Arial" w:cs="Arial"/>
          <w:sz w:val="22"/>
          <w:szCs w:val="22"/>
        </w:rPr>
      </w:pPr>
      <w:r w:rsidRPr="00362E4D">
        <w:rPr>
          <w:rFonts w:ascii="Arial" w:hAnsi="Arial" w:cs="Arial"/>
          <w:sz w:val="22"/>
          <w:szCs w:val="22"/>
        </w:rPr>
        <w:t xml:space="preserve">Otro método para evaluar la función de utilidad de una empresa petrolera es el cuestionario específico de la industria. Se solicita al responsable de la toma de decisiones que elija niveles de participación en cinco oportunidades de inversión (inversiones en perforación) que forman parte de las alternativas presupuestarias anuales de la empresa. Cada una de estas loterías tiene un valor de éxito y un valor de fracaso que representa el valor actual de todos los </w:t>
      </w:r>
      <w:r w:rsidRPr="00362E4D">
        <w:rPr>
          <w:rFonts w:ascii="Arial" w:hAnsi="Arial" w:cs="Arial"/>
          <w:sz w:val="22"/>
          <w:szCs w:val="22"/>
        </w:rPr>
        <w:lastRenderedPageBreak/>
        <w:t xml:space="preserve">flujos de caja futuros netos de costos. Además, se presentan al responsable de la toma de decisiones las probabilidades de ocurrencia de los resultados específicos (éxito o fracaso). El responsable de la toma de decisiones puede elegir entre seis opciones de participación discreta, que van del 100 % al 0 %. Con base en sus elecciones, se puede aproximar una función de utilidad implícita, asumiendo la forma exponencial de la utilidad. El cuestionario puede modificarse para cada empresa, teniendo en cuenta su tamaño y los tipos de proyectos de exploración que realiza. Este tipo de marco de decisión se ajusta estrechamente al proceso de decisión habitual de los gestores de petróleo y gas y representa una técnica atractiva para ellos para medir la actitud ante el riesgo. Además, a diferencia del estudio de BP </w:t>
      </w:r>
      <w:proofErr w:type="spellStart"/>
      <w:r w:rsidRPr="00362E4D">
        <w:rPr>
          <w:rFonts w:ascii="Arial" w:hAnsi="Arial" w:cs="Arial"/>
          <w:sz w:val="22"/>
          <w:szCs w:val="22"/>
        </w:rPr>
        <w:t>Exploration</w:t>
      </w:r>
      <w:proofErr w:type="spellEnd"/>
      <w:r w:rsidRPr="00362E4D">
        <w:rPr>
          <w:rFonts w:ascii="Arial" w:hAnsi="Arial" w:cs="Arial"/>
          <w:sz w:val="22"/>
          <w:szCs w:val="22"/>
        </w:rPr>
        <w:t>, Inc., el enfoque del cuestionario evita los sesgos asociados a proyectos de exploración anteriores y, por lo tanto, puede proporcionar una representación más precisa de la actitud de la dirección ante el riesgo financiero.</w:t>
      </w:r>
      <w:r w:rsidR="000015AD">
        <w:rPr>
          <w:rFonts w:ascii="Arial" w:hAnsi="Arial" w:cs="Arial"/>
          <w:sz w:val="22"/>
          <w:szCs w:val="22"/>
        </w:rPr>
        <w:tab/>
      </w:r>
    </w:p>
    <w:p w14:paraId="07F8C75C" w14:textId="77777777" w:rsidR="000015AD" w:rsidRDefault="003765D4" w:rsidP="000015AD">
      <w:pPr>
        <w:spacing w:line="276" w:lineRule="auto"/>
        <w:ind w:firstLine="720"/>
        <w:jc w:val="both"/>
        <w:rPr>
          <w:rFonts w:ascii="Arial" w:hAnsi="Arial" w:cs="Arial"/>
          <w:sz w:val="22"/>
          <w:szCs w:val="22"/>
        </w:rPr>
      </w:pPr>
      <w:r w:rsidRPr="00362E4D">
        <w:rPr>
          <w:rFonts w:ascii="Arial" w:hAnsi="Arial" w:cs="Arial"/>
          <w:sz w:val="22"/>
          <w:szCs w:val="22"/>
        </w:rPr>
        <w:t>Los hallazgos generales de un grupo de 18 compañías petroleras independientes e integradas sugieren una regla general que relaciona el nivel de aversión al riesgo de la empresa (parámetro exponencial c) con el nivel de presupuesto de la empresa para el período actual. Nuestros hallazgos indican que, como primera aproximación, el valor c de la empresa es igual al inverso de una cuarta parte de su presupuesto anual de exploración. Por ejemplo, una empresa con un presupuesto de exploración de 40 millones de dólares tendría un coeficiente de aversión al riesgo aproximado, c, de 0,10 X 10-6. Sin embargo, esta regla representa solo un punto de partida para evaluar el coeficiente de aversión al riesgo de una empresa individual. Sería fácil imaginar dos empresas con presupuestos anuales de exploración idénticos y niveles de aversión al riesgo notablemente diferentes. Estas diferencias están motivadas por diversos factores, entre ellos la filosofía de exploración gerencial, la política de riesgo corporativa y la contribución de la unidad de negocio de exploración a la cartera corporativa general.</w:t>
      </w:r>
    </w:p>
    <w:p w14:paraId="6FEE56BA" w14:textId="77777777" w:rsidR="000015AD" w:rsidRDefault="003765D4" w:rsidP="000015AD">
      <w:pPr>
        <w:spacing w:line="276" w:lineRule="auto"/>
        <w:ind w:firstLine="720"/>
        <w:jc w:val="both"/>
        <w:rPr>
          <w:rFonts w:ascii="Arial" w:hAnsi="Arial" w:cs="Arial"/>
          <w:sz w:val="22"/>
          <w:szCs w:val="22"/>
        </w:rPr>
      </w:pPr>
      <w:r w:rsidRPr="00362E4D">
        <w:rPr>
          <w:rFonts w:ascii="Arial" w:hAnsi="Arial" w:cs="Arial"/>
          <w:sz w:val="22"/>
          <w:szCs w:val="22"/>
        </w:rPr>
        <w:t xml:space="preserve">En un estudio empírico, </w:t>
      </w:r>
      <w:proofErr w:type="spellStart"/>
      <w:r w:rsidRPr="00362E4D">
        <w:rPr>
          <w:rFonts w:ascii="Arial" w:hAnsi="Arial" w:cs="Arial"/>
          <w:sz w:val="22"/>
          <w:szCs w:val="22"/>
        </w:rPr>
        <w:t>Walls</w:t>
      </w:r>
      <w:proofErr w:type="spellEnd"/>
      <w:r w:rsidRPr="00362E4D">
        <w:rPr>
          <w:rFonts w:ascii="Arial" w:hAnsi="Arial" w:cs="Arial"/>
          <w:sz w:val="22"/>
          <w:szCs w:val="22"/>
        </w:rPr>
        <w:t xml:space="preserve"> y Dyer [1994] utilizan un modelo DA/EUT para medir los coeficientes implícitos de aversión al riesgo de 55 compañías petroleras independientes e integradas durante el período de 1981 a 1990. Este modelo reconstruye las asignaciones presupuestarias anuales de exploración de cada empresa en un conjunto de proyectos de exploración riesgosos. Con base en las cantidades que cada empresa estaba dispuesta a pagar para participar en estos proyectos riesgosos, los autores estimaron una función de utilidad implícita para cada empresa en cada año. </w:t>
      </w:r>
      <w:proofErr w:type="spellStart"/>
      <w:r w:rsidRPr="00362E4D">
        <w:rPr>
          <w:rFonts w:ascii="Arial" w:hAnsi="Arial" w:cs="Arial"/>
          <w:sz w:val="22"/>
          <w:szCs w:val="22"/>
        </w:rPr>
        <w:t>Walls</w:t>
      </w:r>
      <w:proofErr w:type="spellEnd"/>
      <w:r w:rsidRPr="00362E4D">
        <w:rPr>
          <w:rFonts w:ascii="Arial" w:hAnsi="Arial" w:cs="Arial"/>
          <w:sz w:val="22"/>
          <w:szCs w:val="22"/>
        </w:rPr>
        <w:t xml:space="preserve"> y Dyer encontraron una relación positiva significativa entre el tamaño de la empresa y la tolerancia al riesgo corporativo. Además, este estudio sugiere que existe una política de riesgo óptima para un tamaño de empresa dado, en términos del rendimiento de la unidad de negocio de exploración. Esto implica </w:t>
      </w:r>
      <w:proofErr w:type="gramStart"/>
      <w:r w:rsidRPr="00362E4D">
        <w:rPr>
          <w:rFonts w:ascii="Arial" w:hAnsi="Arial" w:cs="Arial"/>
          <w:sz w:val="22"/>
          <w:szCs w:val="22"/>
        </w:rPr>
        <w:t>que</w:t>
      </w:r>
      <w:proofErr w:type="gramEnd"/>
      <w:r w:rsidRPr="00362E4D">
        <w:rPr>
          <w:rFonts w:ascii="Arial" w:hAnsi="Arial" w:cs="Arial"/>
          <w:sz w:val="22"/>
          <w:szCs w:val="22"/>
        </w:rPr>
        <w:t xml:space="preserve"> si conocemos el tamaño de una empresa petrolera, podemos estimar un coeficiente de aversión al riesgo apropiado, c.</w:t>
      </w:r>
    </w:p>
    <w:p w14:paraId="1924EEE0" w14:textId="77777777" w:rsidR="000015AD" w:rsidRDefault="003765D4" w:rsidP="000015AD">
      <w:pPr>
        <w:spacing w:line="276" w:lineRule="auto"/>
        <w:ind w:firstLine="720"/>
        <w:jc w:val="both"/>
        <w:rPr>
          <w:rFonts w:ascii="Arial" w:hAnsi="Arial" w:cs="Arial"/>
          <w:sz w:val="22"/>
          <w:szCs w:val="22"/>
        </w:rPr>
      </w:pPr>
      <w:r w:rsidRPr="00362E4D">
        <w:rPr>
          <w:rFonts w:ascii="Arial" w:hAnsi="Arial" w:cs="Arial"/>
          <w:sz w:val="22"/>
          <w:szCs w:val="22"/>
        </w:rPr>
        <w:t xml:space="preserve">Ningún estudio previo en Phillips evaluó la función de utilidad corporativa ni de la división. Para que Eastern </w:t>
      </w:r>
      <w:proofErr w:type="spellStart"/>
      <w:r w:rsidRPr="00362E4D">
        <w:rPr>
          <w:rFonts w:ascii="Arial" w:hAnsi="Arial" w:cs="Arial"/>
          <w:sz w:val="22"/>
          <w:szCs w:val="22"/>
        </w:rPr>
        <w:t>Onshore</w:t>
      </w:r>
      <w:proofErr w:type="spellEnd"/>
      <w:r w:rsidRPr="00362E4D">
        <w:rPr>
          <w:rFonts w:ascii="Arial" w:hAnsi="Arial" w:cs="Arial"/>
          <w:sz w:val="22"/>
          <w:szCs w:val="22"/>
        </w:rPr>
        <w:t xml:space="preserve"> </w:t>
      </w:r>
      <w:proofErr w:type="spellStart"/>
      <w:r w:rsidRPr="00362E4D">
        <w:rPr>
          <w:rFonts w:ascii="Arial" w:hAnsi="Arial" w:cs="Arial"/>
          <w:sz w:val="22"/>
          <w:szCs w:val="22"/>
        </w:rPr>
        <w:t>Exploration</w:t>
      </w:r>
      <w:proofErr w:type="spellEnd"/>
      <w:r w:rsidRPr="00362E4D">
        <w:rPr>
          <w:rFonts w:ascii="Arial" w:hAnsi="Arial" w:cs="Arial"/>
          <w:sz w:val="22"/>
          <w:szCs w:val="22"/>
        </w:rPr>
        <w:t xml:space="preserve"> pudiera utilizar el modelo DISCOVERY, revisamos las decisiones de prospectos riesgosos de la división. Utilizando el software, determinamos que casi todas las decisiones recientes sobre prospectos en la zona terrestre de la Costa del Golfo se ajustaban a un coeficiente de aversión al riesgo de entre 0,03 x 10 y 0,05 x 10</w:t>
      </w:r>
      <w:r w:rsidRPr="00362E4D">
        <w:rPr>
          <w:rFonts w:ascii="Cambria Math" w:hAnsi="Cambria Math" w:cs="Cambria Math"/>
          <w:sz w:val="22"/>
          <w:szCs w:val="22"/>
        </w:rPr>
        <w:t>⁻</w:t>
      </w:r>
      <w:r w:rsidRPr="00362E4D">
        <w:rPr>
          <w:rFonts w:ascii="Arial" w:hAnsi="Arial" w:cs="Arial"/>
          <w:sz w:val="22"/>
          <w:szCs w:val="22"/>
        </w:rPr>
        <w:t>¹. Este fue también el nivel de aversión al riesgo con el que la gerencia se sentía cómoda al evaluar su inventario actual de proyectos de exploración.</w:t>
      </w:r>
    </w:p>
    <w:p w14:paraId="73C471E3" w14:textId="0B24AD9C" w:rsidR="003765D4" w:rsidRPr="00362E4D" w:rsidRDefault="003765D4" w:rsidP="000015AD">
      <w:pPr>
        <w:spacing w:line="276" w:lineRule="auto"/>
        <w:ind w:firstLine="720"/>
        <w:jc w:val="both"/>
        <w:rPr>
          <w:rFonts w:ascii="Arial" w:hAnsi="Arial" w:cs="Arial"/>
          <w:sz w:val="22"/>
          <w:szCs w:val="22"/>
        </w:rPr>
      </w:pPr>
      <w:r w:rsidRPr="00362E4D">
        <w:rPr>
          <w:rFonts w:ascii="Arial" w:hAnsi="Arial" w:cs="Arial"/>
          <w:sz w:val="22"/>
          <w:szCs w:val="22"/>
        </w:rPr>
        <w:lastRenderedPageBreak/>
        <w:t>Para comprender cómo se utiliza esta técnica para inferir un nivel de aversión al riesgo, considere nuevamente las curvas del perfil de riesgo en la Figura 3. Supongamos que evaluamos el prospecto Duval con el software después de que la gerencia decidió su nivel de participación. En esta evaluación, utilizamos las estructuras de probabilidad y pago para cada escenario de distribución de riesgos que los tomadores de decisiones utilizaron al tomar la decisión. Ahora supongamos que eligieron participar al nivel del 50 por ciento. Con base en el análisis del perfil de riesgo en la Figura 3, esto implica que su nivel de aversión al riesgo cayó entre 0.04 X 10-6 y 0.10 X 10-6. Podemos inferir este valor porque en este nivel de aversión al riesgo, el nivel de participación del 50 por ciento domina todos los demás niveles de participación en términos del valor equivalente de certeza. Podemos replicar este enfoque para una serie de decisiones de inversión para estimar el nivel de aversión al riesgo de una empresa.</w:t>
      </w:r>
    </w:p>
    <w:p w14:paraId="52350AE4" w14:textId="77777777" w:rsidR="003765D4" w:rsidRPr="00362E4D" w:rsidRDefault="003765D4" w:rsidP="00362E4D">
      <w:pPr>
        <w:spacing w:line="276" w:lineRule="auto"/>
        <w:jc w:val="both"/>
        <w:rPr>
          <w:rFonts w:ascii="Arial" w:hAnsi="Arial" w:cs="Arial"/>
          <w:sz w:val="22"/>
          <w:szCs w:val="22"/>
        </w:rPr>
      </w:pPr>
    </w:p>
    <w:p w14:paraId="21EB46F3" w14:textId="77777777" w:rsidR="003765D4" w:rsidRPr="00362E4D" w:rsidRDefault="003765D4" w:rsidP="000015AD">
      <w:pPr>
        <w:spacing w:line="276" w:lineRule="auto"/>
        <w:jc w:val="center"/>
        <w:rPr>
          <w:rFonts w:ascii="Arial" w:hAnsi="Arial" w:cs="Arial"/>
          <w:b/>
          <w:bCs/>
          <w:sz w:val="22"/>
          <w:szCs w:val="22"/>
        </w:rPr>
      </w:pPr>
      <w:r w:rsidRPr="00362E4D">
        <w:rPr>
          <w:rFonts w:ascii="Arial" w:hAnsi="Arial" w:cs="Arial"/>
          <w:b/>
          <w:bCs/>
          <w:sz w:val="22"/>
          <w:szCs w:val="22"/>
        </w:rPr>
        <w:t>Apoyo e Implementación de la Gerencia</w:t>
      </w:r>
    </w:p>
    <w:p w14:paraId="5A0D9947" w14:textId="77777777" w:rsidR="003765D4" w:rsidRPr="00362E4D" w:rsidRDefault="003765D4" w:rsidP="00362E4D">
      <w:pPr>
        <w:spacing w:line="276" w:lineRule="auto"/>
        <w:jc w:val="both"/>
        <w:rPr>
          <w:rFonts w:ascii="Arial" w:hAnsi="Arial" w:cs="Arial"/>
          <w:sz w:val="22"/>
          <w:szCs w:val="22"/>
        </w:rPr>
      </w:pPr>
    </w:p>
    <w:p w14:paraId="3758C202" w14:textId="77777777" w:rsidR="000015AD" w:rsidRDefault="003765D4" w:rsidP="00362E4D">
      <w:pPr>
        <w:spacing w:line="276" w:lineRule="auto"/>
        <w:jc w:val="both"/>
        <w:rPr>
          <w:rFonts w:ascii="Arial" w:hAnsi="Arial" w:cs="Arial"/>
          <w:sz w:val="22"/>
          <w:szCs w:val="22"/>
        </w:rPr>
      </w:pPr>
      <w:r w:rsidRPr="00362E4D">
        <w:rPr>
          <w:rFonts w:ascii="Arial" w:hAnsi="Arial" w:cs="Arial"/>
          <w:sz w:val="22"/>
          <w:szCs w:val="22"/>
        </w:rPr>
        <w:t xml:space="preserve">El software de análisis de decisiones generalmente requiere que el usuario posea un conocimiento práctico, y a menudo avanzado, de la teoría y los métodos asociados con el análisis de decisiones y la teoría de la utilidad esperada. Sin embargo, el software DISCOVERY simplificó el proceso de análisis al brindar a la gerencia un medio para (1) analizar diversos escenarios de desarrollo asociados con proyectos de perforación individuales y (2) modelar consistentemente todo el inventario de proyectos de exploración, tanto en términos económicos como de riesgo. Tras determinar que un rango estrecho de coeficientes de aversión al riesgo era adecuado para representar las preferencias de riesgo, Eastern </w:t>
      </w:r>
      <w:proofErr w:type="spellStart"/>
      <w:r w:rsidRPr="00362E4D">
        <w:rPr>
          <w:rFonts w:ascii="Arial" w:hAnsi="Arial" w:cs="Arial"/>
          <w:sz w:val="22"/>
          <w:szCs w:val="22"/>
        </w:rPr>
        <w:t>Onshore</w:t>
      </w:r>
      <w:proofErr w:type="spellEnd"/>
      <w:r w:rsidRPr="00362E4D">
        <w:rPr>
          <w:rFonts w:ascii="Arial" w:hAnsi="Arial" w:cs="Arial"/>
          <w:sz w:val="22"/>
          <w:szCs w:val="22"/>
        </w:rPr>
        <w:t xml:space="preserve"> analizó rutinariamente todos los prospectos con DISCOVERY antes de emitir recomendaciones finales a la gerencia de exploración de la división. El software también proporciona orientación útil a la gerencia de primera línea durante las negociaciones con otras empresas sobre costos y condiciones de distribución de riesgos que probablemente serán aceptadas por los niveles superiores de gestión de Phillips. DISCOVERY también es útil para estimar el valor real de mercado de un prospecto antes de la perforación y el verdadero valor añadido de las inversiones adicionales en datos científicos y estudios para reducir el riesgo.</w:t>
      </w:r>
    </w:p>
    <w:p w14:paraId="1AFEBE67" w14:textId="77777777" w:rsidR="000015AD" w:rsidRDefault="003765D4" w:rsidP="000015AD">
      <w:pPr>
        <w:spacing w:line="276" w:lineRule="auto"/>
        <w:ind w:firstLine="720"/>
        <w:jc w:val="both"/>
        <w:rPr>
          <w:rFonts w:ascii="Arial" w:hAnsi="Arial" w:cs="Arial"/>
          <w:sz w:val="22"/>
          <w:szCs w:val="22"/>
        </w:rPr>
      </w:pPr>
      <w:r w:rsidRPr="00362E4D">
        <w:rPr>
          <w:rFonts w:ascii="Arial" w:hAnsi="Arial" w:cs="Arial"/>
          <w:sz w:val="22"/>
          <w:szCs w:val="22"/>
        </w:rPr>
        <w:t xml:space="preserve">Actualmente, varias empresas de exploración petrolera, tanto integradas como independientes, utilizan el software para diversos fines, desde la toma de decisiones individuales hasta el análisis completo de todo el inventario de prospectos de la empresa. La estructura organizativa influye significativamente en la decisión de una empresa de utilizar este sistema. El análisis de riesgos de inversión en una compañía petrolera suele ser responsabilidad del departamento de ingeniería. Históricamente, esta área funcional no ha establecido una distinción clara entre el potencial de reservas petroleras comprobado y relativamente seguro de la empresa y las perspectivas de exploración más arriesgadas e inciertas en sus modelos económicos. DISCOVERY distingue entre estas dos tareas, centrándose en la asignación de recursos para proyectos de exploración. En empresas cuyos departamentos de exploración analizan el riesgo de proyectos de exploración, como Phillips </w:t>
      </w:r>
      <w:proofErr w:type="spellStart"/>
      <w:r w:rsidRPr="00362E4D">
        <w:rPr>
          <w:rFonts w:ascii="Arial" w:hAnsi="Arial" w:cs="Arial"/>
          <w:sz w:val="22"/>
          <w:szCs w:val="22"/>
        </w:rPr>
        <w:t>Petroleum</w:t>
      </w:r>
      <w:proofErr w:type="spellEnd"/>
      <w:r w:rsidRPr="00362E4D">
        <w:rPr>
          <w:rFonts w:ascii="Arial" w:hAnsi="Arial" w:cs="Arial"/>
          <w:sz w:val="22"/>
          <w:szCs w:val="22"/>
        </w:rPr>
        <w:t xml:space="preserve">, el modelo tiene mayor probabilidad de aceptación. Las grandes empresas que cuentan con grupos de planificación y economía </w:t>
      </w:r>
      <w:r w:rsidRPr="00362E4D">
        <w:rPr>
          <w:rFonts w:ascii="Arial" w:hAnsi="Arial" w:cs="Arial"/>
          <w:sz w:val="22"/>
          <w:szCs w:val="22"/>
        </w:rPr>
        <w:lastRenderedPageBreak/>
        <w:t>separados de los de ingeniería y exploración también suelen mostrar mayor interés en este tipo de modelo de decisión, quizás porque el software considera el conjunto de oportunidades de inversión de la empresa como un único modelo integrado, un problema clásico que enfrenta esta área funcional.</w:t>
      </w:r>
    </w:p>
    <w:p w14:paraId="663C5212" w14:textId="77777777" w:rsidR="000015AD" w:rsidRDefault="003765D4" w:rsidP="000015AD">
      <w:pPr>
        <w:spacing w:line="276" w:lineRule="auto"/>
        <w:ind w:firstLine="720"/>
        <w:jc w:val="both"/>
        <w:rPr>
          <w:rFonts w:ascii="Arial" w:hAnsi="Arial" w:cs="Arial"/>
          <w:sz w:val="22"/>
          <w:szCs w:val="22"/>
        </w:rPr>
      </w:pPr>
      <w:r w:rsidRPr="00362E4D">
        <w:rPr>
          <w:rFonts w:ascii="Arial" w:hAnsi="Arial" w:cs="Arial"/>
          <w:sz w:val="22"/>
          <w:szCs w:val="22"/>
        </w:rPr>
        <w:t>La mayor parte de la reticencia de los directivos a utilizar DISCOVERY se centra en dos cuestiones. En primer lugar, les incomoda la idea de medir la función de utilidad de la empresa. Además, las empresas que han realizado una evaluación de la preferencia al riesgo para determinar sus funciones de utilidad suelen cuestionar si la función evaluada es adecuada para sus entornos competitivos y operativos. Si bien la mayoría de los responsables de la toma de decisiones admiten que sus empresas no son neutrales al riesgo, se muestran reacios a cuantificar sus niveles de aversión al riesgo. Desarrollar métodos intuitivos y prácticos para medir las preferencias corporativas al riesgo contribuye significativamente a reducir esta reticencia.</w:t>
      </w:r>
    </w:p>
    <w:p w14:paraId="0D0C47FA" w14:textId="332560B8" w:rsidR="00362E4D" w:rsidRPr="00362E4D" w:rsidRDefault="003765D4" w:rsidP="000015AD">
      <w:pPr>
        <w:spacing w:line="276" w:lineRule="auto"/>
        <w:ind w:firstLine="720"/>
        <w:jc w:val="both"/>
        <w:rPr>
          <w:rFonts w:ascii="Arial" w:hAnsi="Arial" w:cs="Arial"/>
          <w:sz w:val="22"/>
          <w:szCs w:val="22"/>
        </w:rPr>
      </w:pPr>
      <w:r w:rsidRPr="00362E4D">
        <w:rPr>
          <w:rFonts w:ascii="Arial" w:hAnsi="Arial" w:cs="Arial"/>
          <w:sz w:val="22"/>
          <w:szCs w:val="22"/>
        </w:rPr>
        <w:t>En segundo lugar, las aplicaciones del análisis de decisiones y los modelos de teoría de la utilidad resultan, en última instancia, en un equilibrio entre la viabilidad computacional y el realismo, los principales factores que influyen en la implementación de cualquier modelo complejo de resolución de problemas. Un modelo para la asignación de recursos de exploración petrolera debe incorporar las siguientes características esenciales:</w:t>
      </w:r>
    </w:p>
    <w:p w14:paraId="4CBD6141" w14:textId="77777777" w:rsidR="00362E4D" w:rsidRPr="00362E4D" w:rsidRDefault="00362E4D" w:rsidP="00362E4D">
      <w:pPr>
        <w:spacing w:line="276" w:lineRule="auto"/>
        <w:jc w:val="both"/>
        <w:rPr>
          <w:rFonts w:ascii="Arial" w:hAnsi="Arial" w:cs="Arial"/>
          <w:sz w:val="22"/>
          <w:szCs w:val="22"/>
        </w:rPr>
      </w:pPr>
      <w:r w:rsidRPr="00362E4D">
        <w:rPr>
          <w:rFonts w:ascii="Arial" w:hAnsi="Arial" w:cs="Arial"/>
          <w:sz w:val="22"/>
          <w:szCs w:val="22"/>
        </w:rPr>
        <w:t>—La capacidad de ayudar a los gerentes a superar algunas de las limitaciones en sus decisiones sin ayuda;</w:t>
      </w:r>
    </w:p>
    <w:p w14:paraId="1848E3E4" w14:textId="77777777" w:rsidR="00362E4D" w:rsidRPr="00362E4D" w:rsidRDefault="00362E4D" w:rsidP="00362E4D">
      <w:pPr>
        <w:spacing w:line="276" w:lineRule="auto"/>
        <w:jc w:val="both"/>
        <w:rPr>
          <w:rFonts w:ascii="Arial" w:hAnsi="Arial" w:cs="Arial"/>
          <w:sz w:val="22"/>
          <w:szCs w:val="22"/>
        </w:rPr>
      </w:pPr>
      <w:r w:rsidRPr="00362E4D">
        <w:rPr>
          <w:rFonts w:ascii="Arial" w:hAnsi="Arial" w:cs="Arial"/>
          <w:sz w:val="22"/>
          <w:szCs w:val="22"/>
        </w:rPr>
        <w:t>—Un tratamiento eficaz del riesgo y la incertidumbre para las variables de interés;</w:t>
      </w:r>
    </w:p>
    <w:p w14:paraId="3F5B5D2C" w14:textId="77777777" w:rsidR="00362E4D" w:rsidRPr="00362E4D" w:rsidRDefault="00362E4D" w:rsidP="00362E4D">
      <w:pPr>
        <w:spacing w:line="276" w:lineRule="auto"/>
        <w:jc w:val="both"/>
        <w:rPr>
          <w:rFonts w:ascii="Arial" w:hAnsi="Arial" w:cs="Arial"/>
          <w:sz w:val="22"/>
          <w:szCs w:val="22"/>
        </w:rPr>
      </w:pPr>
      <w:r w:rsidRPr="00362E4D">
        <w:rPr>
          <w:rFonts w:ascii="Arial" w:hAnsi="Arial" w:cs="Arial"/>
          <w:sz w:val="22"/>
          <w:szCs w:val="22"/>
        </w:rPr>
        <w:t>—La capacidad de considerar la propensión de la empresa a participar en proyectos de riesgo;</w:t>
      </w:r>
    </w:p>
    <w:p w14:paraId="2F12356E" w14:textId="77777777" w:rsidR="00362E4D" w:rsidRPr="00362E4D" w:rsidRDefault="00362E4D" w:rsidP="00362E4D">
      <w:pPr>
        <w:spacing w:line="276" w:lineRule="auto"/>
        <w:jc w:val="both"/>
        <w:rPr>
          <w:rFonts w:ascii="Arial" w:hAnsi="Arial" w:cs="Arial"/>
          <w:sz w:val="22"/>
          <w:szCs w:val="22"/>
        </w:rPr>
      </w:pPr>
      <w:r w:rsidRPr="00362E4D">
        <w:rPr>
          <w:rFonts w:ascii="Arial" w:hAnsi="Arial" w:cs="Arial"/>
          <w:sz w:val="22"/>
          <w:szCs w:val="22"/>
        </w:rPr>
        <w:t>—La consideración del conjunto de oportunidades de inversión de la empresa en un único modelo integrado; y</w:t>
      </w:r>
    </w:p>
    <w:p w14:paraId="06168D29" w14:textId="3BFC4710" w:rsidR="00362E4D" w:rsidRPr="00362E4D" w:rsidRDefault="00362E4D" w:rsidP="00362E4D">
      <w:pPr>
        <w:spacing w:line="276" w:lineRule="auto"/>
        <w:jc w:val="both"/>
        <w:rPr>
          <w:rFonts w:ascii="Arial" w:hAnsi="Arial" w:cs="Arial"/>
          <w:sz w:val="22"/>
          <w:szCs w:val="22"/>
        </w:rPr>
      </w:pPr>
      <w:r w:rsidRPr="00362E4D">
        <w:rPr>
          <w:rFonts w:ascii="Arial" w:hAnsi="Arial" w:cs="Arial"/>
          <w:sz w:val="22"/>
          <w:szCs w:val="22"/>
        </w:rPr>
        <w:t>—La comprensibilidad, para que los usuarios puedan comprender el modelo y sus implicaciones para la gestión de riesgos.</w:t>
      </w:r>
    </w:p>
    <w:p w14:paraId="5CF3E524" w14:textId="6CF788E4" w:rsidR="00362E4D" w:rsidRPr="00362E4D" w:rsidRDefault="00362E4D" w:rsidP="00362E4D">
      <w:pPr>
        <w:spacing w:line="276" w:lineRule="auto"/>
        <w:jc w:val="both"/>
        <w:rPr>
          <w:rFonts w:ascii="Arial" w:hAnsi="Arial" w:cs="Arial"/>
          <w:sz w:val="22"/>
          <w:szCs w:val="22"/>
        </w:rPr>
      </w:pPr>
      <w:r w:rsidRPr="00362E4D">
        <w:rPr>
          <w:rFonts w:ascii="Arial" w:hAnsi="Arial" w:cs="Arial"/>
          <w:sz w:val="22"/>
          <w:szCs w:val="22"/>
        </w:rPr>
        <w:t>Los problemas asociados con la conciliación de la manejabilidad computacional y el realismo se agravan cuando el software está diseñado para permitir que personas sin formación profesional en el área de DA/EUT sean analistas de decisiones eficaces en un dominio de problemas específico. Es necesario reducir las capacidades de modelado para crear una herramienta de ayuda a la toma de decisiones altamente estructurada, en la que las relaciones entre variables para la clase específica de problema de decisión sean componentes básicos. Por ejemplo, DISCOVERY ofrece a los usuarios una forma de usar el modelado de árboles de decisión sin construir un árbol explícitamente; sin embargo, esta comodidad limita el número de tipos de árboles de decisión que pueden usar.</w:t>
      </w:r>
    </w:p>
    <w:p w14:paraId="4D5D0DD5" w14:textId="0EE4F3D0" w:rsidR="00362E4D" w:rsidRPr="00362E4D" w:rsidRDefault="000015AD" w:rsidP="000015AD">
      <w:pPr>
        <w:jc w:val="center"/>
        <w:rPr>
          <w:rFonts w:ascii="Arial" w:hAnsi="Arial" w:cs="Arial"/>
          <w:b/>
          <w:bCs/>
          <w:sz w:val="22"/>
          <w:szCs w:val="22"/>
        </w:rPr>
      </w:pPr>
      <w:r>
        <w:rPr>
          <w:rFonts w:ascii="Arial" w:hAnsi="Arial" w:cs="Arial"/>
          <w:b/>
          <w:bCs/>
          <w:sz w:val="22"/>
          <w:szCs w:val="22"/>
        </w:rPr>
        <w:br w:type="page"/>
      </w:r>
      <w:r w:rsidR="00362E4D" w:rsidRPr="00362E4D">
        <w:rPr>
          <w:rFonts w:ascii="Arial" w:hAnsi="Arial" w:cs="Arial"/>
          <w:b/>
          <w:bCs/>
          <w:sz w:val="22"/>
          <w:szCs w:val="22"/>
        </w:rPr>
        <w:lastRenderedPageBreak/>
        <w:t>Conclusión</w:t>
      </w:r>
    </w:p>
    <w:p w14:paraId="05E873BB" w14:textId="77777777" w:rsidR="00362E4D" w:rsidRPr="00362E4D" w:rsidRDefault="00362E4D" w:rsidP="00362E4D">
      <w:pPr>
        <w:spacing w:line="276" w:lineRule="auto"/>
        <w:jc w:val="both"/>
        <w:rPr>
          <w:rFonts w:ascii="Arial" w:hAnsi="Arial" w:cs="Arial"/>
          <w:sz w:val="22"/>
          <w:szCs w:val="22"/>
        </w:rPr>
      </w:pPr>
    </w:p>
    <w:p w14:paraId="1497E2CD" w14:textId="1BA0929B" w:rsidR="00362E4D" w:rsidRPr="00362E4D" w:rsidRDefault="00362E4D" w:rsidP="00362E4D">
      <w:pPr>
        <w:spacing w:line="276" w:lineRule="auto"/>
        <w:jc w:val="both"/>
        <w:rPr>
          <w:rFonts w:ascii="Arial" w:hAnsi="Arial" w:cs="Arial"/>
          <w:sz w:val="22"/>
          <w:szCs w:val="22"/>
        </w:rPr>
      </w:pPr>
      <w:r w:rsidRPr="00362E4D">
        <w:rPr>
          <w:rFonts w:ascii="Arial" w:hAnsi="Arial" w:cs="Arial"/>
          <w:sz w:val="22"/>
          <w:szCs w:val="22"/>
        </w:rPr>
        <w:t xml:space="preserve">Los gerentes de la División Norteamericana de Exploración Terrestre Oriental de Phillips querían que integráramos un modelo integral de flujo de caja descontado con una herramienta de gestión de riesgos para la toma de decisiones. Desarrollar y aplicar una metodología de gestión de riesgos a este tipo específico de decisiones de inversión riesgosas fue fascinante. Diseñamos y desarrollamos un sistema de soporte de decisiones basado en DA/EUT que permitió al departamento de exploración de Phillips </w:t>
      </w:r>
      <w:proofErr w:type="spellStart"/>
      <w:r w:rsidRPr="00362E4D">
        <w:rPr>
          <w:rFonts w:ascii="Arial" w:hAnsi="Arial" w:cs="Arial"/>
          <w:sz w:val="22"/>
          <w:szCs w:val="22"/>
        </w:rPr>
        <w:t>Petroleum</w:t>
      </w:r>
      <w:proofErr w:type="spellEnd"/>
      <w:r w:rsidRPr="00362E4D">
        <w:rPr>
          <w:rFonts w:ascii="Arial" w:hAnsi="Arial" w:cs="Arial"/>
          <w:sz w:val="22"/>
          <w:szCs w:val="22"/>
        </w:rPr>
        <w:t xml:space="preserve"> garantizar una actitud consistente ante el riesgo en la evaluación de proyectos. El software DISCOVERY permite a los gerentes realizar un análisis razonable y sistemático de una amplia gama de oportunidades de inversión riesgosas, clasificar los proyectos de forma realista y seleccionar niveles de participación acordes con la disposición de la empresa a asumir riesgos. Superamos los problemas de implementación presentando el enfoque de forma intuitiva y atractiva y proporcionando una interfaz de software que permite a los usuarios aprovechar el potencial de modelado y computacional del análisis de decisiones y la teoría de la utilidad sin necesidad de un conocimiento explícito del marco matemático de dichas teorías. El enfoque ha aumentado la conciencia de la gerencia sobre el riesgo y su tolerancia al mismo, ha proporcionado información sobre los riesgos financieros asociados a su conjunto de oportunidades de inversión y ha proporcionado a la empresa un modelo de decisión formalizado para la asignación de capital escaso. Como resultado de este proyecto, Phillips ha desarrollado métodos consistentes de análisis de riesgos que incluyen el análisis integral de todos los proyectos de exploración de la empresa.</w:t>
      </w:r>
    </w:p>
    <w:p w14:paraId="4AE551BD" w14:textId="77777777" w:rsidR="003765D4" w:rsidRDefault="003765D4" w:rsidP="003765D4"/>
    <w:p w14:paraId="46BB17A3" w14:textId="77777777" w:rsidR="003765D4" w:rsidRDefault="003765D4" w:rsidP="00A16DB7"/>
    <w:sectPr w:rsidR="003765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DB7"/>
    <w:rsid w:val="000015AD"/>
    <w:rsid w:val="00362E4D"/>
    <w:rsid w:val="003765D4"/>
    <w:rsid w:val="007A19B3"/>
    <w:rsid w:val="007D5BA3"/>
    <w:rsid w:val="008C7343"/>
    <w:rsid w:val="00A16DB7"/>
    <w:rsid w:val="00E0036A"/>
    <w:rsid w:val="00F76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45313"/>
  <w15:chartTrackingRefBased/>
  <w15:docId w15:val="{015D6A55-BEA3-4947-B551-53BF3DA8C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R"/>
    </w:rPr>
  </w:style>
  <w:style w:type="paragraph" w:styleId="Ttulo1">
    <w:name w:val="heading 1"/>
    <w:basedOn w:val="Normal"/>
    <w:next w:val="Normal"/>
    <w:link w:val="Ttulo1Car"/>
    <w:uiPriority w:val="9"/>
    <w:qFormat/>
    <w:rsid w:val="00A16D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16D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16DB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16DB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16DB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16DB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16DB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16DB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16DB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16DB7"/>
    <w:rPr>
      <w:rFonts w:asciiTheme="majorHAnsi" w:eastAsiaTheme="majorEastAsia" w:hAnsiTheme="majorHAnsi" w:cstheme="majorBidi"/>
      <w:color w:val="0F4761" w:themeColor="accent1" w:themeShade="BF"/>
      <w:sz w:val="40"/>
      <w:szCs w:val="40"/>
      <w:lang w:val="es-CR"/>
    </w:rPr>
  </w:style>
  <w:style w:type="character" w:customStyle="1" w:styleId="Ttulo2Car">
    <w:name w:val="Título 2 Car"/>
    <w:basedOn w:val="Fuentedeprrafopredeter"/>
    <w:link w:val="Ttulo2"/>
    <w:uiPriority w:val="9"/>
    <w:semiHidden/>
    <w:rsid w:val="00A16DB7"/>
    <w:rPr>
      <w:rFonts w:asciiTheme="majorHAnsi" w:eastAsiaTheme="majorEastAsia" w:hAnsiTheme="majorHAnsi" w:cstheme="majorBidi"/>
      <w:color w:val="0F4761" w:themeColor="accent1" w:themeShade="BF"/>
      <w:sz w:val="32"/>
      <w:szCs w:val="32"/>
      <w:lang w:val="es-CR"/>
    </w:rPr>
  </w:style>
  <w:style w:type="character" w:customStyle="1" w:styleId="Ttulo3Car">
    <w:name w:val="Título 3 Car"/>
    <w:basedOn w:val="Fuentedeprrafopredeter"/>
    <w:link w:val="Ttulo3"/>
    <w:uiPriority w:val="9"/>
    <w:semiHidden/>
    <w:rsid w:val="00A16DB7"/>
    <w:rPr>
      <w:rFonts w:eastAsiaTheme="majorEastAsia" w:cstheme="majorBidi"/>
      <w:color w:val="0F4761" w:themeColor="accent1" w:themeShade="BF"/>
      <w:sz w:val="28"/>
      <w:szCs w:val="28"/>
      <w:lang w:val="es-CR"/>
    </w:rPr>
  </w:style>
  <w:style w:type="character" w:customStyle="1" w:styleId="Ttulo4Car">
    <w:name w:val="Título 4 Car"/>
    <w:basedOn w:val="Fuentedeprrafopredeter"/>
    <w:link w:val="Ttulo4"/>
    <w:uiPriority w:val="9"/>
    <w:semiHidden/>
    <w:rsid w:val="00A16DB7"/>
    <w:rPr>
      <w:rFonts w:eastAsiaTheme="majorEastAsia" w:cstheme="majorBidi"/>
      <w:i/>
      <w:iCs/>
      <w:color w:val="0F4761" w:themeColor="accent1" w:themeShade="BF"/>
      <w:lang w:val="es-CR"/>
    </w:rPr>
  </w:style>
  <w:style w:type="character" w:customStyle="1" w:styleId="Ttulo5Car">
    <w:name w:val="Título 5 Car"/>
    <w:basedOn w:val="Fuentedeprrafopredeter"/>
    <w:link w:val="Ttulo5"/>
    <w:uiPriority w:val="9"/>
    <w:semiHidden/>
    <w:rsid w:val="00A16DB7"/>
    <w:rPr>
      <w:rFonts w:eastAsiaTheme="majorEastAsia" w:cstheme="majorBidi"/>
      <w:color w:val="0F4761" w:themeColor="accent1" w:themeShade="BF"/>
      <w:lang w:val="es-CR"/>
    </w:rPr>
  </w:style>
  <w:style w:type="character" w:customStyle="1" w:styleId="Ttulo6Car">
    <w:name w:val="Título 6 Car"/>
    <w:basedOn w:val="Fuentedeprrafopredeter"/>
    <w:link w:val="Ttulo6"/>
    <w:uiPriority w:val="9"/>
    <w:semiHidden/>
    <w:rsid w:val="00A16DB7"/>
    <w:rPr>
      <w:rFonts w:eastAsiaTheme="majorEastAsia" w:cstheme="majorBidi"/>
      <w:i/>
      <w:iCs/>
      <w:color w:val="595959" w:themeColor="text1" w:themeTint="A6"/>
      <w:lang w:val="es-CR"/>
    </w:rPr>
  </w:style>
  <w:style w:type="character" w:customStyle="1" w:styleId="Ttulo7Car">
    <w:name w:val="Título 7 Car"/>
    <w:basedOn w:val="Fuentedeprrafopredeter"/>
    <w:link w:val="Ttulo7"/>
    <w:uiPriority w:val="9"/>
    <w:semiHidden/>
    <w:rsid w:val="00A16DB7"/>
    <w:rPr>
      <w:rFonts w:eastAsiaTheme="majorEastAsia" w:cstheme="majorBidi"/>
      <w:color w:val="595959" w:themeColor="text1" w:themeTint="A6"/>
      <w:lang w:val="es-CR"/>
    </w:rPr>
  </w:style>
  <w:style w:type="character" w:customStyle="1" w:styleId="Ttulo8Car">
    <w:name w:val="Título 8 Car"/>
    <w:basedOn w:val="Fuentedeprrafopredeter"/>
    <w:link w:val="Ttulo8"/>
    <w:uiPriority w:val="9"/>
    <w:semiHidden/>
    <w:rsid w:val="00A16DB7"/>
    <w:rPr>
      <w:rFonts w:eastAsiaTheme="majorEastAsia" w:cstheme="majorBidi"/>
      <w:i/>
      <w:iCs/>
      <w:color w:val="272727" w:themeColor="text1" w:themeTint="D8"/>
      <w:lang w:val="es-CR"/>
    </w:rPr>
  </w:style>
  <w:style w:type="character" w:customStyle="1" w:styleId="Ttulo9Car">
    <w:name w:val="Título 9 Car"/>
    <w:basedOn w:val="Fuentedeprrafopredeter"/>
    <w:link w:val="Ttulo9"/>
    <w:uiPriority w:val="9"/>
    <w:semiHidden/>
    <w:rsid w:val="00A16DB7"/>
    <w:rPr>
      <w:rFonts w:eastAsiaTheme="majorEastAsia" w:cstheme="majorBidi"/>
      <w:color w:val="272727" w:themeColor="text1" w:themeTint="D8"/>
      <w:lang w:val="es-CR"/>
    </w:rPr>
  </w:style>
  <w:style w:type="paragraph" w:styleId="Ttulo">
    <w:name w:val="Title"/>
    <w:basedOn w:val="Normal"/>
    <w:next w:val="Normal"/>
    <w:link w:val="TtuloCar"/>
    <w:uiPriority w:val="10"/>
    <w:qFormat/>
    <w:rsid w:val="00A16D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6DB7"/>
    <w:rPr>
      <w:rFonts w:asciiTheme="majorHAnsi" w:eastAsiaTheme="majorEastAsia" w:hAnsiTheme="majorHAnsi" w:cstheme="majorBidi"/>
      <w:spacing w:val="-10"/>
      <w:kern w:val="28"/>
      <w:sz w:val="56"/>
      <w:szCs w:val="56"/>
      <w:lang w:val="es-CR"/>
    </w:rPr>
  </w:style>
  <w:style w:type="paragraph" w:styleId="Subttulo">
    <w:name w:val="Subtitle"/>
    <w:basedOn w:val="Normal"/>
    <w:next w:val="Normal"/>
    <w:link w:val="SubttuloCar"/>
    <w:uiPriority w:val="11"/>
    <w:qFormat/>
    <w:rsid w:val="00A16DB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16DB7"/>
    <w:rPr>
      <w:rFonts w:eastAsiaTheme="majorEastAsia" w:cstheme="majorBidi"/>
      <w:color w:val="595959" w:themeColor="text1" w:themeTint="A6"/>
      <w:spacing w:val="15"/>
      <w:sz w:val="28"/>
      <w:szCs w:val="28"/>
      <w:lang w:val="es-CR"/>
    </w:rPr>
  </w:style>
  <w:style w:type="paragraph" w:styleId="Cita">
    <w:name w:val="Quote"/>
    <w:basedOn w:val="Normal"/>
    <w:next w:val="Normal"/>
    <w:link w:val="CitaCar"/>
    <w:uiPriority w:val="29"/>
    <w:qFormat/>
    <w:rsid w:val="00A16DB7"/>
    <w:pPr>
      <w:spacing w:before="160"/>
      <w:jc w:val="center"/>
    </w:pPr>
    <w:rPr>
      <w:i/>
      <w:iCs/>
      <w:color w:val="404040" w:themeColor="text1" w:themeTint="BF"/>
    </w:rPr>
  </w:style>
  <w:style w:type="character" w:customStyle="1" w:styleId="CitaCar">
    <w:name w:val="Cita Car"/>
    <w:basedOn w:val="Fuentedeprrafopredeter"/>
    <w:link w:val="Cita"/>
    <w:uiPriority w:val="29"/>
    <w:rsid w:val="00A16DB7"/>
    <w:rPr>
      <w:i/>
      <w:iCs/>
      <w:color w:val="404040" w:themeColor="text1" w:themeTint="BF"/>
      <w:lang w:val="es-CR"/>
    </w:rPr>
  </w:style>
  <w:style w:type="paragraph" w:styleId="Prrafodelista">
    <w:name w:val="List Paragraph"/>
    <w:basedOn w:val="Normal"/>
    <w:uiPriority w:val="34"/>
    <w:qFormat/>
    <w:rsid w:val="00A16DB7"/>
    <w:pPr>
      <w:ind w:left="720"/>
      <w:contextualSpacing/>
    </w:pPr>
  </w:style>
  <w:style w:type="character" w:styleId="nfasisintenso">
    <w:name w:val="Intense Emphasis"/>
    <w:basedOn w:val="Fuentedeprrafopredeter"/>
    <w:uiPriority w:val="21"/>
    <w:qFormat/>
    <w:rsid w:val="00A16DB7"/>
    <w:rPr>
      <w:i/>
      <w:iCs/>
      <w:color w:val="0F4761" w:themeColor="accent1" w:themeShade="BF"/>
    </w:rPr>
  </w:style>
  <w:style w:type="paragraph" w:styleId="Citadestacada">
    <w:name w:val="Intense Quote"/>
    <w:basedOn w:val="Normal"/>
    <w:next w:val="Normal"/>
    <w:link w:val="CitadestacadaCar"/>
    <w:uiPriority w:val="30"/>
    <w:qFormat/>
    <w:rsid w:val="00A16D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16DB7"/>
    <w:rPr>
      <w:i/>
      <w:iCs/>
      <w:color w:val="0F4761" w:themeColor="accent1" w:themeShade="BF"/>
      <w:lang w:val="es-CR"/>
    </w:rPr>
  </w:style>
  <w:style w:type="character" w:styleId="Referenciaintensa">
    <w:name w:val="Intense Reference"/>
    <w:basedOn w:val="Fuentedeprrafopredeter"/>
    <w:uiPriority w:val="32"/>
    <w:qFormat/>
    <w:rsid w:val="00A16D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7224</Words>
  <Characters>39732</Characters>
  <Application>Microsoft Office Word</Application>
  <DocSecurity>0</DocSecurity>
  <Lines>331</Lines>
  <Paragraphs>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Arrieta</dc:creator>
  <cp:keywords/>
  <dc:description/>
  <cp:lastModifiedBy>ANTONIO</cp:lastModifiedBy>
  <cp:revision>2</cp:revision>
  <dcterms:created xsi:type="dcterms:W3CDTF">2025-07-20T01:26:00Z</dcterms:created>
  <dcterms:modified xsi:type="dcterms:W3CDTF">2025-07-20T01:26:00Z</dcterms:modified>
</cp:coreProperties>
</file>