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556292" w:rsidRPr="00BA6A2E" w14:paraId="1DF1AA28" w14:textId="77777777" w:rsidTr="00246939">
        <w:trPr>
          <w:trHeight w:val="665"/>
        </w:trPr>
        <w:tc>
          <w:tcPr>
            <w:tcW w:w="516" w:type="dxa"/>
            <w:vMerge w:val="restart"/>
          </w:tcPr>
          <w:p w14:paraId="5FDFFED3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  <w:bookmarkStart w:id="0" w:name="_Hlk103681555"/>
            <w:bookmarkStart w:id="1" w:name="_Hlk104899981"/>
          </w:p>
          <w:p w14:paraId="2F3FCAB5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3D50445E" w14:textId="65CBB3BA" w:rsidR="00556292" w:rsidRPr="000D6EDC" w:rsidRDefault="00877FDA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4B5B8FFB" w14:textId="348451D8" w:rsidR="00556292" w:rsidRPr="000D6EDC" w:rsidRDefault="00216C90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Es</w:t>
            </w:r>
            <w:r w:rsidR="003E25BB" w:rsidRPr="000D6EDC">
              <w:rPr>
                <w:rFonts w:ascii="Arial" w:eastAsia="Calibri" w:hAnsi="Arial" w:cs="Arial"/>
                <w:b/>
                <w:sz w:val="18"/>
              </w:rPr>
              <w:t>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12AF751D" w14:textId="4C1C41C5" w:rsidR="00556292" w:rsidRPr="000D6EDC" w:rsidRDefault="00216C90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702CA6B5" w14:textId="1C02FA2F" w:rsidR="00556292" w:rsidRPr="000D6EDC" w:rsidRDefault="003E25BB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</w:t>
            </w:r>
            <w:r w:rsidR="00216C90" w:rsidRPr="000D6EDC">
              <w:rPr>
                <w:rFonts w:ascii="Arial" w:eastAsia="Calibri" w:hAnsi="Arial" w:cs="Arial"/>
                <w:b/>
                <w:sz w:val="18"/>
              </w:rPr>
              <w:t>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7C047166" w14:textId="6A493679" w:rsidR="00556292" w:rsidRPr="000D6EDC" w:rsidRDefault="00216C90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 w:rsidR="002F40A2" w:rsidRPr="000D6EDC">
              <w:rPr>
                <w:rFonts w:ascii="Arial" w:eastAsia="Calibri" w:hAnsi="Arial" w:cs="Arial"/>
                <w:b/>
                <w:sz w:val="18"/>
              </w:rPr>
              <w:t>C</w:t>
            </w:r>
            <w:r w:rsidRPr="000D6EDC">
              <w:rPr>
                <w:rFonts w:ascii="Arial" w:eastAsia="Calibri" w:hAnsi="Arial" w:cs="Arial"/>
                <w:b/>
                <w:sz w:val="18"/>
              </w:rPr>
              <w:t>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517F5BCD" w14:textId="5A66A901" w:rsidR="00556292" w:rsidRPr="000D6EDC" w:rsidRDefault="00216C90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 w:rsidR="002F40A2" w:rsidRPr="000D6EDC">
              <w:rPr>
                <w:rFonts w:ascii="Arial" w:eastAsia="Calibri" w:hAnsi="Arial" w:cs="Arial"/>
                <w:b/>
                <w:sz w:val="18"/>
              </w:rPr>
              <w:t>C</w:t>
            </w:r>
            <w:r w:rsidRPr="000D6EDC">
              <w:rPr>
                <w:rFonts w:ascii="Arial" w:eastAsia="Calibri" w:hAnsi="Arial" w:cs="Arial"/>
                <w:b/>
                <w:sz w:val="18"/>
              </w:rPr>
              <w:t>orreccion</w:t>
            </w:r>
            <w:proofErr w:type="spellEnd"/>
          </w:p>
        </w:tc>
      </w:tr>
      <w:bookmarkEnd w:id="0"/>
      <w:tr w:rsidR="00556292" w:rsidRPr="00BA6A2E" w14:paraId="48982E97" w14:textId="77777777" w:rsidTr="00246939">
        <w:tc>
          <w:tcPr>
            <w:tcW w:w="516" w:type="dxa"/>
            <w:vMerge/>
          </w:tcPr>
          <w:p w14:paraId="5B197C79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7BC913C8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6C08DA16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2AA376B4" w14:textId="63DF27F5" w:rsidR="00556292" w:rsidRPr="000D6EDC" w:rsidRDefault="00216C90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5C0DA2D8" w14:textId="77777777" w:rsidR="00556292" w:rsidRPr="000D6EDC" w:rsidRDefault="003E25BB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122D0EF0" w14:textId="77777777" w:rsidR="00556292" w:rsidRPr="000D6EDC" w:rsidRDefault="003E25BB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65A2D830" w14:textId="77777777" w:rsidR="00556292" w:rsidRPr="000D6EDC" w:rsidRDefault="00556292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334CA2D3" w14:textId="77777777" w:rsidR="00556292" w:rsidRPr="000D6EDC" w:rsidRDefault="00556292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1E0F3605" w14:textId="77777777" w:rsidR="00556292" w:rsidRPr="000D6EDC" w:rsidRDefault="00556292">
            <w:pPr>
              <w:rPr>
                <w:rFonts w:eastAsia="Calibri"/>
              </w:rPr>
            </w:pPr>
          </w:p>
        </w:tc>
      </w:tr>
      <w:tr w:rsidR="00556292" w:rsidRPr="00DF1C53" w14:paraId="3C618500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1140295B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1</w:t>
            </w:r>
          </w:p>
        </w:tc>
        <w:tc>
          <w:tcPr>
            <w:tcW w:w="1715" w:type="dxa"/>
          </w:tcPr>
          <w:p w14:paraId="657F3B02" w14:textId="601146B9" w:rsidR="00556292" w:rsidRPr="000D6EDC" w:rsidRDefault="0052526E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D6EDC">
              <w:rPr>
                <w:sz w:val="18"/>
                <w:szCs w:val="18"/>
              </w:rPr>
              <w:t>Terrenos</w:t>
            </w:r>
            <w:proofErr w:type="spellEnd"/>
            <w:r w:rsidRPr="000D6EDC">
              <w:rPr>
                <w:sz w:val="18"/>
                <w:szCs w:val="18"/>
              </w:rPr>
              <w:t xml:space="preserve"> </w:t>
            </w:r>
            <w:proofErr w:type="spellStart"/>
            <w:r w:rsidRPr="000D6EDC">
              <w:rPr>
                <w:sz w:val="18"/>
                <w:szCs w:val="18"/>
              </w:rPr>
              <w:t>exteriores</w:t>
            </w:r>
            <w:proofErr w:type="spellEnd"/>
          </w:p>
        </w:tc>
        <w:tc>
          <w:tcPr>
            <w:tcW w:w="2043" w:type="dxa"/>
          </w:tcPr>
          <w:p w14:paraId="5D07A958" w14:textId="1CDE68E6" w:rsidR="00556292" w:rsidRPr="00CE7D33" w:rsidRDefault="000D1C2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El área que rodea el edificio está libre de escombros, debidamente iluminada y drenada adecuadamente.</w:t>
            </w:r>
          </w:p>
        </w:tc>
        <w:tc>
          <w:tcPr>
            <w:tcW w:w="590" w:type="dxa"/>
          </w:tcPr>
          <w:p w14:paraId="09F88B36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F013BDC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D6224F7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0930DA7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23AE78B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8D19C2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56292" w:rsidRPr="00BA6A2E" w14:paraId="305650FE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0438273F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2</w:t>
            </w:r>
          </w:p>
        </w:tc>
        <w:tc>
          <w:tcPr>
            <w:tcW w:w="1715" w:type="dxa"/>
          </w:tcPr>
          <w:p w14:paraId="794651FB" w14:textId="30D0B0A1" w:rsidR="00556292" w:rsidRPr="00CE7D33" w:rsidRDefault="00383B23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Control de acceso a las instalaciones</w:t>
            </w:r>
          </w:p>
        </w:tc>
        <w:tc>
          <w:tcPr>
            <w:tcW w:w="2043" w:type="dxa"/>
          </w:tcPr>
          <w:p w14:paraId="19C40FEF" w14:textId="3B4DAC6A" w:rsidR="00556292" w:rsidRPr="000D6EDC" w:rsidRDefault="00383B23">
            <w:pPr>
              <w:pStyle w:val="NoSpacing"/>
              <w:rPr>
                <w:sz w:val="18"/>
                <w:szCs w:val="20"/>
              </w:rPr>
            </w:pPr>
            <w:r w:rsidRPr="00CE7D33">
              <w:rPr>
                <w:sz w:val="18"/>
                <w:szCs w:val="20"/>
                <w:lang w:val="pt-PT"/>
              </w:rPr>
              <w:t xml:space="preserve">Se adoptan medidas eficaces para restringir el acceso no autorizado a los terrenos y las instalaciones (vallados, portones y puertas cerrados y cerrados, vigilancia por cámara e iluminación adecuada, códigos de acceso operativos, etc.)  </w:t>
            </w:r>
            <w:r w:rsidRPr="000D6EDC">
              <w:rPr>
                <w:sz w:val="18"/>
                <w:szCs w:val="20"/>
              </w:rPr>
              <w:t xml:space="preserve">Todos </w:t>
            </w:r>
            <w:proofErr w:type="spellStart"/>
            <w:r w:rsidRPr="000D6EDC">
              <w:rPr>
                <w:sz w:val="18"/>
                <w:szCs w:val="20"/>
              </w:rPr>
              <w:t>los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visitantes</w:t>
            </w:r>
            <w:proofErr w:type="spellEnd"/>
            <w:r w:rsidRPr="000D6EDC">
              <w:rPr>
                <w:sz w:val="18"/>
                <w:szCs w:val="20"/>
              </w:rPr>
              <w:t xml:space="preserve"> y </w:t>
            </w:r>
            <w:proofErr w:type="spellStart"/>
            <w:r w:rsidRPr="000D6EDC">
              <w:rPr>
                <w:sz w:val="18"/>
                <w:szCs w:val="20"/>
              </w:rPr>
              <w:t>contratistas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están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entrando</w:t>
            </w:r>
            <w:proofErr w:type="spellEnd"/>
            <w:r w:rsidRPr="000D6EDC">
              <w:rPr>
                <w:sz w:val="18"/>
                <w:szCs w:val="20"/>
              </w:rPr>
              <w:t xml:space="preserve"> y </w:t>
            </w:r>
            <w:proofErr w:type="spellStart"/>
            <w:r w:rsidRPr="000D6EDC">
              <w:rPr>
                <w:sz w:val="18"/>
                <w:szCs w:val="20"/>
              </w:rPr>
              <w:t>saliendo</w:t>
            </w:r>
            <w:proofErr w:type="spellEnd"/>
            <w:r w:rsidRPr="000D6EDC">
              <w:rPr>
                <w:sz w:val="18"/>
                <w:szCs w:val="20"/>
              </w:rPr>
              <w:t>.</w:t>
            </w:r>
          </w:p>
        </w:tc>
        <w:tc>
          <w:tcPr>
            <w:tcW w:w="590" w:type="dxa"/>
          </w:tcPr>
          <w:p w14:paraId="11A40025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622" w:type="dxa"/>
          </w:tcPr>
          <w:p w14:paraId="5BA64762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644" w:type="dxa"/>
          </w:tcPr>
          <w:p w14:paraId="150D606F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359" w:type="dxa"/>
          </w:tcPr>
          <w:p w14:paraId="3D393008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833" w:type="dxa"/>
          </w:tcPr>
          <w:p w14:paraId="55F4751A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694" w:type="dxa"/>
          </w:tcPr>
          <w:p w14:paraId="1E3D4A41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</w:tr>
      <w:tr w:rsidR="00556292" w:rsidRPr="00DF1C53" w14:paraId="690432BB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A6DEEA5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3</w:t>
            </w:r>
          </w:p>
        </w:tc>
        <w:tc>
          <w:tcPr>
            <w:tcW w:w="1715" w:type="dxa"/>
          </w:tcPr>
          <w:p w14:paraId="2059E406" w14:textId="77777777" w:rsidR="005F166C" w:rsidRPr="00CE7D33" w:rsidRDefault="00E54660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6"/>
                <w:szCs w:val="16"/>
                <w:lang w:val="pt-PT"/>
              </w:rPr>
              <w:t xml:space="preserve">Seguridad Alimentaria / Conciencia </w:t>
            </w:r>
          </w:p>
          <w:p w14:paraId="53F99499" w14:textId="77777777" w:rsidR="005F166C" w:rsidRPr="00CE7D33" w:rsidRDefault="00E54660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6"/>
                <w:szCs w:val="16"/>
                <w:lang w:val="pt-PT"/>
              </w:rPr>
              <w:t>GMP</w:t>
            </w:r>
            <w:r w:rsidR="005F166C" w:rsidRPr="00CE7D33">
              <w:rPr>
                <w:sz w:val="16"/>
                <w:szCs w:val="16"/>
                <w:lang w:val="pt-PT"/>
              </w:rPr>
              <w:t xml:space="preserve"> </w:t>
            </w:r>
          </w:p>
          <w:p w14:paraId="66692FFE" w14:textId="338D6F74" w:rsidR="00556292" w:rsidRPr="00CE7D33" w:rsidRDefault="005F166C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6"/>
                <w:szCs w:val="16"/>
                <w:lang w:val="pt-PT"/>
              </w:rPr>
              <w:t>(Buenas Practicas de la Manufactura)</w:t>
            </w:r>
          </w:p>
        </w:tc>
        <w:tc>
          <w:tcPr>
            <w:tcW w:w="2043" w:type="dxa"/>
          </w:tcPr>
          <w:p w14:paraId="6C630D72" w14:textId="230F9A64" w:rsidR="00556292" w:rsidRPr="00CE7D33" w:rsidRDefault="00507F1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Los artículos actuales de concientización sobre seguridad alimentaria / GMP se publican de manera visible y, cuando es necesario, son firmados por visitantes y contratistas.</w:t>
            </w:r>
          </w:p>
        </w:tc>
        <w:tc>
          <w:tcPr>
            <w:tcW w:w="590" w:type="dxa"/>
          </w:tcPr>
          <w:p w14:paraId="2F07B704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5604DDC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13BE215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001304D2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74AC8E74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AE1F1C1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56292" w:rsidRPr="00DF1C53" w14:paraId="6213BC7A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611B23EC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4</w:t>
            </w:r>
          </w:p>
        </w:tc>
        <w:tc>
          <w:tcPr>
            <w:tcW w:w="1715" w:type="dxa"/>
          </w:tcPr>
          <w:p w14:paraId="693DF577" w14:textId="1D0F9EA7" w:rsidR="00556292" w:rsidRPr="000D6EDC" w:rsidRDefault="00507F1D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D6EDC">
              <w:rPr>
                <w:sz w:val="18"/>
                <w:szCs w:val="18"/>
              </w:rPr>
              <w:t>Enfermedad</w:t>
            </w:r>
            <w:proofErr w:type="spellEnd"/>
            <w:r w:rsidRPr="000D6EDC">
              <w:rPr>
                <w:sz w:val="18"/>
                <w:szCs w:val="18"/>
              </w:rPr>
              <w:t xml:space="preserve"> </w:t>
            </w:r>
            <w:proofErr w:type="spellStart"/>
            <w:r w:rsidRPr="000D6EDC">
              <w:rPr>
                <w:sz w:val="18"/>
                <w:szCs w:val="18"/>
              </w:rPr>
              <w:t>infecciosa</w:t>
            </w:r>
            <w:proofErr w:type="spellEnd"/>
          </w:p>
        </w:tc>
        <w:tc>
          <w:tcPr>
            <w:tcW w:w="2043" w:type="dxa"/>
          </w:tcPr>
          <w:p w14:paraId="08FEC32E" w14:textId="40BB7FE3" w:rsidR="00556292" w:rsidRPr="00CE7D33" w:rsidRDefault="00E41D46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El personal con enfermedades infecciosas o lesiones no está permitido en un área de procesamiento de alimentos.</w:t>
            </w:r>
          </w:p>
        </w:tc>
        <w:tc>
          <w:tcPr>
            <w:tcW w:w="590" w:type="dxa"/>
          </w:tcPr>
          <w:p w14:paraId="3092733C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D5B8F1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3C8E9FA8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68FD290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68DB2A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550CAB48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56292" w:rsidRPr="00DF1C53" w14:paraId="6E6CA6D3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2A326D90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5</w:t>
            </w:r>
          </w:p>
        </w:tc>
        <w:tc>
          <w:tcPr>
            <w:tcW w:w="1715" w:type="dxa"/>
          </w:tcPr>
          <w:p w14:paraId="6BA1ED99" w14:textId="77D4BDE1" w:rsidR="00556292" w:rsidRPr="000D6EDC" w:rsidRDefault="00E41D46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D6EDC">
              <w:rPr>
                <w:sz w:val="18"/>
                <w:szCs w:val="18"/>
              </w:rPr>
              <w:t>Restricciones</w:t>
            </w:r>
            <w:proofErr w:type="spellEnd"/>
            <w:r w:rsidRPr="000D6EDC">
              <w:rPr>
                <w:sz w:val="18"/>
                <w:szCs w:val="18"/>
              </w:rPr>
              <w:t xml:space="preserve"> para </w:t>
            </w:r>
            <w:proofErr w:type="spellStart"/>
            <w:r w:rsidRPr="000D6EDC">
              <w:rPr>
                <w:sz w:val="18"/>
                <w:szCs w:val="18"/>
              </w:rPr>
              <w:t>el</w:t>
            </w:r>
            <w:proofErr w:type="spellEnd"/>
            <w:r w:rsidRPr="000D6EDC">
              <w:rPr>
                <w:sz w:val="18"/>
                <w:szCs w:val="18"/>
              </w:rPr>
              <w:t xml:space="preserve"> </w:t>
            </w:r>
            <w:proofErr w:type="spellStart"/>
            <w:r w:rsidRPr="000D6EDC">
              <w:rPr>
                <w:sz w:val="18"/>
                <w:szCs w:val="18"/>
              </w:rPr>
              <w:t>cabello</w:t>
            </w:r>
            <w:proofErr w:type="spellEnd"/>
          </w:p>
        </w:tc>
        <w:tc>
          <w:tcPr>
            <w:tcW w:w="2043" w:type="dxa"/>
          </w:tcPr>
          <w:p w14:paraId="3E2500F1" w14:textId="3662092D" w:rsidR="00556292" w:rsidRPr="00CE7D33" w:rsidRDefault="0046211A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Las redes para el cabello / protectores de barba suministrados por la compañía son usados efectivamente por asociados, visitantes y contratistas para cubrir la cabeza y el vello facial.</w:t>
            </w:r>
          </w:p>
        </w:tc>
        <w:tc>
          <w:tcPr>
            <w:tcW w:w="590" w:type="dxa"/>
          </w:tcPr>
          <w:p w14:paraId="2CA1E8DB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5A6EE217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AE45F99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6346937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3B54DE7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D7A7879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56292" w:rsidRPr="00DF1C53" w14:paraId="79EF1FF9" w14:textId="77777777" w:rsidTr="00246939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8E9EE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6</w:t>
            </w:r>
          </w:p>
        </w:tc>
        <w:tc>
          <w:tcPr>
            <w:tcW w:w="1715" w:type="dxa"/>
          </w:tcPr>
          <w:p w14:paraId="5D434446" w14:textId="42A62376" w:rsidR="00556292" w:rsidRPr="000D6EDC" w:rsidRDefault="0046211A">
            <w:pPr>
              <w:pStyle w:val="NoSpacing"/>
              <w:rPr>
                <w:sz w:val="18"/>
                <w:szCs w:val="18"/>
              </w:rPr>
            </w:pPr>
            <w:r w:rsidRPr="000D6EDC">
              <w:rPr>
                <w:sz w:val="18"/>
                <w:szCs w:val="18"/>
              </w:rPr>
              <w:t>Calzado</w:t>
            </w:r>
          </w:p>
        </w:tc>
        <w:tc>
          <w:tcPr>
            <w:tcW w:w="2043" w:type="dxa"/>
          </w:tcPr>
          <w:p w14:paraId="789F1216" w14:textId="3B7211CE" w:rsidR="00556292" w:rsidRPr="00CE7D33" w:rsidRDefault="00593BB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Los zapatos de los empleados están limpios y en buen estado. Cuando proceda, deberá llevarse calzado protector antideslizante.</w:t>
            </w:r>
          </w:p>
        </w:tc>
        <w:tc>
          <w:tcPr>
            <w:tcW w:w="590" w:type="dxa"/>
          </w:tcPr>
          <w:p w14:paraId="0985BBF9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A88FB2C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418BE46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64483D7F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426C2893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A5D5768" w14:textId="77777777" w:rsidR="00556292" w:rsidRPr="00CE7D33" w:rsidRDefault="00556292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56292" w:rsidRPr="00BA6A2E" w14:paraId="7DFEDFCD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A8293" w14:textId="77777777" w:rsidR="00556292" w:rsidRPr="000D6EDC" w:rsidRDefault="003E25BB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7</w:t>
            </w:r>
          </w:p>
        </w:tc>
        <w:tc>
          <w:tcPr>
            <w:tcW w:w="1715" w:type="dxa"/>
          </w:tcPr>
          <w:p w14:paraId="596029A0" w14:textId="10117967" w:rsidR="00556292" w:rsidRPr="000D6EDC" w:rsidRDefault="00593BBD">
            <w:pPr>
              <w:pStyle w:val="NoSpacing"/>
              <w:rPr>
                <w:sz w:val="18"/>
                <w:szCs w:val="18"/>
              </w:rPr>
            </w:pPr>
            <w:r w:rsidRPr="000D6EDC">
              <w:rPr>
                <w:sz w:val="18"/>
                <w:szCs w:val="18"/>
              </w:rPr>
              <w:t>Ropa</w:t>
            </w:r>
          </w:p>
        </w:tc>
        <w:tc>
          <w:tcPr>
            <w:tcW w:w="2043" w:type="dxa"/>
          </w:tcPr>
          <w:p w14:paraId="5A10FCC5" w14:textId="77777777" w:rsidR="00556292" w:rsidRPr="000D6EDC" w:rsidRDefault="005D0966">
            <w:pPr>
              <w:pStyle w:val="NoSpacing"/>
              <w:rPr>
                <w:sz w:val="18"/>
                <w:szCs w:val="20"/>
              </w:rPr>
            </w:pPr>
            <w:r w:rsidRPr="00CE7D33">
              <w:rPr>
                <w:sz w:val="18"/>
                <w:szCs w:val="20"/>
                <w:lang w:val="pt-PT"/>
              </w:rPr>
              <w:t xml:space="preserve">Los asociados, visitantes y contratistas no usan ropa sucia, rasgada o holgada.  </w:t>
            </w:r>
            <w:r w:rsidRPr="000D6EDC">
              <w:rPr>
                <w:sz w:val="18"/>
                <w:szCs w:val="20"/>
              </w:rPr>
              <w:t xml:space="preserve">Los </w:t>
            </w:r>
            <w:proofErr w:type="spellStart"/>
            <w:r w:rsidRPr="000D6EDC">
              <w:rPr>
                <w:sz w:val="18"/>
                <w:szCs w:val="20"/>
              </w:rPr>
              <w:t>asociados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usan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uniformes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proporcionados</w:t>
            </w:r>
            <w:proofErr w:type="spellEnd"/>
            <w:r w:rsidRPr="000D6EDC">
              <w:rPr>
                <w:sz w:val="18"/>
                <w:szCs w:val="20"/>
              </w:rPr>
              <w:t xml:space="preserve"> </w:t>
            </w:r>
            <w:proofErr w:type="spellStart"/>
            <w:r w:rsidRPr="000D6EDC">
              <w:rPr>
                <w:sz w:val="18"/>
                <w:szCs w:val="20"/>
              </w:rPr>
              <w:t>por</w:t>
            </w:r>
            <w:proofErr w:type="spellEnd"/>
            <w:r w:rsidRPr="000D6EDC">
              <w:rPr>
                <w:sz w:val="18"/>
                <w:szCs w:val="20"/>
              </w:rPr>
              <w:t xml:space="preserve"> la </w:t>
            </w:r>
            <w:proofErr w:type="spellStart"/>
            <w:r w:rsidRPr="000D6EDC">
              <w:rPr>
                <w:sz w:val="18"/>
                <w:szCs w:val="20"/>
              </w:rPr>
              <w:t>compañía</w:t>
            </w:r>
            <w:proofErr w:type="spellEnd"/>
            <w:r w:rsidRPr="000D6EDC">
              <w:rPr>
                <w:sz w:val="18"/>
                <w:szCs w:val="20"/>
              </w:rPr>
              <w:t>.</w:t>
            </w:r>
          </w:p>
          <w:p w14:paraId="0CBCDB43" w14:textId="77777777" w:rsidR="00533587" w:rsidRPr="000D6EDC" w:rsidRDefault="00533587">
            <w:pPr>
              <w:pStyle w:val="NoSpacing"/>
              <w:rPr>
                <w:sz w:val="18"/>
                <w:szCs w:val="20"/>
              </w:rPr>
            </w:pPr>
          </w:p>
          <w:p w14:paraId="5929D25D" w14:textId="03F153DA" w:rsidR="00533587" w:rsidRPr="000D6EDC" w:rsidRDefault="00533587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590" w:type="dxa"/>
          </w:tcPr>
          <w:p w14:paraId="34782190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622" w:type="dxa"/>
          </w:tcPr>
          <w:p w14:paraId="7FAC5ABD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644" w:type="dxa"/>
          </w:tcPr>
          <w:p w14:paraId="1222052A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359" w:type="dxa"/>
          </w:tcPr>
          <w:p w14:paraId="3E2CE384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833" w:type="dxa"/>
          </w:tcPr>
          <w:p w14:paraId="5B210ED3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  <w:tc>
          <w:tcPr>
            <w:tcW w:w="1694" w:type="dxa"/>
          </w:tcPr>
          <w:p w14:paraId="1E42A69F" w14:textId="77777777" w:rsidR="00556292" w:rsidRPr="000D6EDC" w:rsidRDefault="00556292">
            <w:pPr>
              <w:pStyle w:val="NoSpacing"/>
              <w:rPr>
                <w:rFonts w:eastAsia="Calibri"/>
              </w:rPr>
            </w:pPr>
          </w:p>
        </w:tc>
      </w:tr>
      <w:tr w:rsidR="00947CE6" w:rsidRPr="00BA6A2E" w14:paraId="10877AA8" w14:textId="77777777" w:rsidTr="00246939">
        <w:trPr>
          <w:trHeight w:val="665"/>
        </w:trPr>
        <w:tc>
          <w:tcPr>
            <w:tcW w:w="516" w:type="dxa"/>
            <w:vMerge w:val="restart"/>
          </w:tcPr>
          <w:p w14:paraId="3608A2E7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  <w:bookmarkStart w:id="2" w:name="_Hlk104899768"/>
            <w:bookmarkEnd w:id="1"/>
          </w:p>
          <w:p w14:paraId="045E562F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321CE985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1A375FBF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5960E05A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748BBED9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30258916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2B08ED61" w14:textId="77777777" w:rsidR="00947CE6" w:rsidRPr="000D6EDC" w:rsidRDefault="00947CE6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947CE6" w:rsidRPr="00BA6A2E" w14:paraId="4E0C8FEC" w14:textId="77777777" w:rsidTr="00246939">
        <w:tc>
          <w:tcPr>
            <w:tcW w:w="516" w:type="dxa"/>
            <w:vMerge/>
          </w:tcPr>
          <w:p w14:paraId="38793F65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1E81E0A8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77945423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106CAB05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33E98C4D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21B82344" w14:textId="77777777" w:rsidR="00947CE6" w:rsidRPr="000D6EDC" w:rsidRDefault="00947CE6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302DB182" w14:textId="77777777" w:rsidR="00947CE6" w:rsidRPr="000D6EDC" w:rsidRDefault="00947CE6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63FF9ED8" w14:textId="77777777" w:rsidR="00947CE6" w:rsidRPr="000D6EDC" w:rsidRDefault="00947CE6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607D9D68" w14:textId="77777777" w:rsidR="00947CE6" w:rsidRPr="000D6EDC" w:rsidRDefault="00947CE6" w:rsidP="006B4D5E">
            <w:pPr>
              <w:rPr>
                <w:rFonts w:eastAsia="Calibri"/>
              </w:rPr>
            </w:pPr>
          </w:p>
        </w:tc>
      </w:tr>
      <w:tr w:rsidR="00947CE6" w:rsidRPr="00BA6A2E" w14:paraId="2DD557C7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52FA3536" w14:textId="697DCF50" w:rsidR="00947CE6" w:rsidRPr="000D6EDC" w:rsidRDefault="00947CE6" w:rsidP="006B4D5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1715" w:type="dxa"/>
          </w:tcPr>
          <w:p w14:paraId="63D848B5" w14:textId="49B8AF1E" w:rsidR="00947CE6" w:rsidRPr="000D6EDC" w:rsidRDefault="00947CE6" w:rsidP="006B4D5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43" w:type="dxa"/>
          </w:tcPr>
          <w:p w14:paraId="7B6A3DC3" w14:textId="58FFDF7C" w:rsidR="00947CE6" w:rsidRPr="000D6EDC" w:rsidRDefault="00947CE6" w:rsidP="006B4D5E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590" w:type="dxa"/>
          </w:tcPr>
          <w:p w14:paraId="35D06544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  <w:tc>
          <w:tcPr>
            <w:tcW w:w="622" w:type="dxa"/>
          </w:tcPr>
          <w:p w14:paraId="16C9AC42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  <w:tc>
          <w:tcPr>
            <w:tcW w:w="644" w:type="dxa"/>
          </w:tcPr>
          <w:p w14:paraId="51E22F8D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  <w:tc>
          <w:tcPr>
            <w:tcW w:w="1359" w:type="dxa"/>
          </w:tcPr>
          <w:p w14:paraId="6D470A50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  <w:tc>
          <w:tcPr>
            <w:tcW w:w="1833" w:type="dxa"/>
          </w:tcPr>
          <w:p w14:paraId="596393F3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  <w:tc>
          <w:tcPr>
            <w:tcW w:w="1694" w:type="dxa"/>
          </w:tcPr>
          <w:p w14:paraId="5C2FB8E7" w14:textId="77777777" w:rsidR="00947CE6" w:rsidRPr="000D6EDC" w:rsidRDefault="00947CE6" w:rsidP="006B4D5E">
            <w:pPr>
              <w:pStyle w:val="NoSpacing"/>
              <w:rPr>
                <w:rFonts w:eastAsia="Calibri"/>
              </w:rPr>
            </w:pPr>
          </w:p>
        </w:tc>
      </w:tr>
      <w:tr w:rsidR="00947CE6" w:rsidRPr="00DF1C53" w14:paraId="7DC2C4F4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6C95294F" w14:textId="5F2CBBB8" w:rsidR="00947CE6" w:rsidRPr="000D6EDC" w:rsidRDefault="00340324" w:rsidP="006B4D5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8</w:t>
            </w:r>
          </w:p>
        </w:tc>
        <w:tc>
          <w:tcPr>
            <w:tcW w:w="1715" w:type="dxa"/>
          </w:tcPr>
          <w:p w14:paraId="315EA87F" w14:textId="2F38AA3D" w:rsidR="00947CE6" w:rsidRPr="00CE7D33" w:rsidRDefault="00340324" w:rsidP="006B4D5E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4"/>
                <w:szCs w:val="14"/>
                <w:lang w:val="pt-PT"/>
              </w:rPr>
              <w:t>Joyería / esmalte de uñas / uñas postizas</w:t>
            </w:r>
          </w:p>
        </w:tc>
        <w:tc>
          <w:tcPr>
            <w:tcW w:w="2043" w:type="dxa"/>
          </w:tcPr>
          <w:p w14:paraId="1772E017" w14:textId="2AED1430" w:rsidR="00947CE6" w:rsidRPr="00CE7D33" w:rsidRDefault="00D94254" w:rsidP="006B4D5E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Los asociados no deben usar esmalte de uñas, uñas postizas o joyas</w:t>
            </w:r>
          </w:p>
        </w:tc>
        <w:tc>
          <w:tcPr>
            <w:tcW w:w="590" w:type="dxa"/>
          </w:tcPr>
          <w:p w14:paraId="2D0B7E91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D033A99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FEBC2B7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299DD18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23C3A9E0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458CD25" w14:textId="77777777" w:rsidR="00947CE6" w:rsidRPr="00CE7D33" w:rsidRDefault="00947CE6" w:rsidP="006B4D5E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A01C8D" w:rsidRPr="00DF1C53" w14:paraId="425C44E6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0AAD8B" w14:textId="486FFA06" w:rsidR="00A01C8D" w:rsidRPr="000D6EDC" w:rsidRDefault="00A01C8D" w:rsidP="00A01C8D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0D6EDC">
              <w:rPr>
                <w:rFonts w:eastAsia="Calibri"/>
                <w:b/>
                <w:sz w:val="18"/>
                <w:szCs w:val="18"/>
              </w:rPr>
              <w:t>9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207E64C3" w14:textId="0AD78489" w:rsidR="00A01C8D" w:rsidRPr="00CE7D33" w:rsidRDefault="00A01C8D" w:rsidP="00A01C8D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6"/>
                <w:szCs w:val="16"/>
                <w:lang w:val="pt-PT"/>
              </w:rPr>
              <w:t>Comer, beber, consumir tabaco o masticar chicle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14:paraId="090432C5" w14:textId="77777777" w:rsidR="00A01C8D" w:rsidRPr="00CE7D33" w:rsidRDefault="00A01C8D" w:rsidP="00A01C8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El personal no debe fumar, usar productos de tabaco, beber, comer alimentos o masticar chicle en las áreas de producción y almacenamiento.</w:t>
            </w:r>
          </w:p>
          <w:p w14:paraId="2BEC4749" w14:textId="522A7A07" w:rsidR="00A01C8D" w:rsidRPr="00CE7D33" w:rsidRDefault="00A01C8D" w:rsidP="00A01C8D">
            <w:pPr>
              <w:pStyle w:val="NoSpacing"/>
              <w:rPr>
                <w:sz w:val="18"/>
                <w:szCs w:val="20"/>
                <w:lang w:val="pt-PT"/>
              </w:rPr>
            </w:pPr>
          </w:p>
        </w:tc>
        <w:tc>
          <w:tcPr>
            <w:tcW w:w="590" w:type="dxa"/>
          </w:tcPr>
          <w:p w14:paraId="22778913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5ED2514D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585E80A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3D23A525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B834A4B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6C5EE86" w14:textId="77777777" w:rsidR="00A01C8D" w:rsidRPr="00CE7D33" w:rsidRDefault="00A01C8D" w:rsidP="00A01C8D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44233C" w:rsidRPr="00DF1C53" w14:paraId="29D5CF03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CC0A90" w14:textId="3154D062" w:rsidR="0044233C" w:rsidRPr="00BA6A2E" w:rsidRDefault="0044233C" w:rsidP="0044233C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10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76BE1C70" w14:textId="1DCB012B" w:rsidR="0044233C" w:rsidRPr="00CE7D33" w:rsidRDefault="0044233C" w:rsidP="0044233C">
            <w:pPr>
              <w:pStyle w:val="NoSpacing"/>
              <w:rPr>
                <w:sz w:val="18"/>
                <w:szCs w:val="18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Casilleros y salas de descanso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14:paraId="7655E4A1" w14:textId="0FF87FA1" w:rsidR="0044233C" w:rsidRPr="00CE7D33" w:rsidRDefault="0044233C" w:rsidP="0044233C">
            <w:pPr>
              <w:pStyle w:val="NoSpacing"/>
              <w:rPr>
                <w:sz w:val="18"/>
                <w:szCs w:val="20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instalaciones se mantienen limpias y sanitarias, y adecuadamente ventiladas.</w:t>
            </w:r>
          </w:p>
        </w:tc>
        <w:tc>
          <w:tcPr>
            <w:tcW w:w="590" w:type="dxa"/>
          </w:tcPr>
          <w:p w14:paraId="5830DCB6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22" w:type="dxa"/>
          </w:tcPr>
          <w:p w14:paraId="6590256E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44" w:type="dxa"/>
          </w:tcPr>
          <w:p w14:paraId="65F8DBB4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359" w:type="dxa"/>
          </w:tcPr>
          <w:p w14:paraId="17117411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833" w:type="dxa"/>
          </w:tcPr>
          <w:p w14:paraId="139E6454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694" w:type="dxa"/>
          </w:tcPr>
          <w:p w14:paraId="3E7BAE2D" w14:textId="77777777" w:rsidR="0044233C" w:rsidRPr="00CE7D33" w:rsidRDefault="0044233C" w:rsidP="0044233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</w:tr>
      <w:tr w:rsidR="00E154D2" w:rsidRPr="00DF1C53" w14:paraId="6A6216F5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7377B1" w14:textId="444157AD" w:rsidR="00E154D2" w:rsidRPr="00BA6A2E" w:rsidRDefault="00E154D2" w:rsidP="00E154D2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11</w:t>
            </w:r>
          </w:p>
        </w:tc>
        <w:tc>
          <w:tcPr>
            <w:tcW w:w="1715" w:type="dxa"/>
          </w:tcPr>
          <w:p w14:paraId="0AC36D5D" w14:textId="19CD5C38" w:rsidR="00E154D2" w:rsidRPr="00CE7D33" w:rsidRDefault="00E154D2" w:rsidP="00E154D2">
            <w:pPr>
              <w:pStyle w:val="NoSpacing"/>
              <w:rPr>
                <w:sz w:val="18"/>
                <w:szCs w:val="18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Instalaciones para lavarse las manos</w:t>
            </w:r>
          </w:p>
        </w:tc>
        <w:tc>
          <w:tcPr>
            <w:tcW w:w="2043" w:type="dxa"/>
          </w:tcPr>
          <w:p w14:paraId="064734C6" w14:textId="7657980C" w:rsidR="00E154D2" w:rsidRPr="00CE7D33" w:rsidRDefault="00E154D2" w:rsidP="00E154D2">
            <w:pPr>
              <w:pStyle w:val="NoSpacing"/>
              <w:rPr>
                <w:sz w:val="18"/>
                <w:szCs w:val="20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Todas las instalaciones de lavado de manos están convenientemente ubicadas cerca de las entradas a las áreas de procesamiento. Hay agua caliente adecuada, jabón, toallas de papel y papelera. La señalización de Lavarse las manos está visiblemente publicada en inglés y español.</w:t>
            </w:r>
          </w:p>
        </w:tc>
        <w:tc>
          <w:tcPr>
            <w:tcW w:w="590" w:type="dxa"/>
          </w:tcPr>
          <w:p w14:paraId="74C034F1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22" w:type="dxa"/>
          </w:tcPr>
          <w:p w14:paraId="0CBBF76B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44" w:type="dxa"/>
          </w:tcPr>
          <w:p w14:paraId="220F6CB6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359" w:type="dxa"/>
          </w:tcPr>
          <w:p w14:paraId="44CA355E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833" w:type="dxa"/>
          </w:tcPr>
          <w:p w14:paraId="1C6E3A48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694" w:type="dxa"/>
          </w:tcPr>
          <w:p w14:paraId="4BBE9B8C" w14:textId="77777777" w:rsidR="00E154D2" w:rsidRPr="00CE7D33" w:rsidRDefault="00E154D2" w:rsidP="00E154D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</w:tr>
      <w:tr w:rsidR="00F34A42" w:rsidRPr="00DF1C53" w14:paraId="45F5BD36" w14:textId="77777777" w:rsidTr="00246939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7B1AF" w14:textId="0966BA53" w:rsidR="00F34A42" w:rsidRPr="00BA6A2E" w:rsidRDefault="00F34A42" w:rsidP="00F34A42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12</w:t>
            </w:r>
          </w:p>
        </w:tc>
        <w:tc>
          <w:tcPr>
            <w:tcW w:w="1715" w:type="dxa"/>
          </w:tcPr>
          <w:p w14:paraId="38086A01" w14:textId="4506C86F" w:rsidR="00F34A42" w:rsidRPr="00BA6A2E" w:rsidRDefault="00F34A42" w:rsidP="00F34A42">
            <w:pPr>
              <w:pStyle w:val="NoSpacing"/>
              <w:rPr>
                <w:sz w:val="18"/>
                <w:szCs w:val="18"/>
                <w:highlight w:val="yellow"/>
              </w:rPr>
            </w:pPr>
            <w:proofErr w:type="spellStart"/>
            <w:r w:rsidRPr="004F310C">
              <w:rPr>
                <w:sz w:val="18"/>
                <w:szCs w:val="18"/>
              </w:rPr>
              <w:t>Prácticas</w:t>
            </w:r>
            <w:proofErr w:type="spellEnd"/>
            <w:r w:rsidRPr="004F310C">
              <w:rPr>
                <w:sz w:val="18"/>
                <w:szCs w:val="18"/>
              </w:rPr>
              <w:t xml:space="preserve"> </w:t>
            </w:r>
            <w:proofErr w:type="spellStart"/>
            <w:r w:rsidRPr="004F310C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2043" w:type="dxa"/>
          </w:tcPr>
          <w:p w14:paraId="35D783A0" w14:textId="304432B3" w:rsidR="00F34A42" w:rsidRPr="00CE7D33" w:rsidRDefault="00F34A42" w:rsidP="00F34A42">
            <w:pPr>
              <w:pStyle w:val="NoSpacing"/>
              <w:rPr>
                <w:sz w:val="18"/>
                <w:szCs w:val="20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asociados que trabajan en un área de procesamiento de alimentos no deben escupir ni practicar otros hábitos personales sucios dentro de las áreas de almacenamiento o producción de la planta.</w:t>
            </w:r>
          </w:p>
        </w:tc>
        <w:tc>
          <w:tcPr>
            <w:tcW w:w="590" w:type="dxa"/>
          </w:tcPr>
          <w:p w14:paraId="27E1741B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22" w:type="dxa"/>
          </w:tcPr>
          <w:p w14:paraId="0F3007A1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44" w:type="dxa"/>
          </w:tcPr>
          <w:p w14:paraId="40A15A78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359" w:type="dxa"/>
          </w:tcPr>
          <w:p w14:paraId="0918832A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833" w:type="dxa"/>
          </w:tcPr>
          <w:p w14:paraId="0C6CA65F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694" w:type="dxa"/>
          </w:tcPr>
          <w:p w14:paraId="3F374242" w14:textId="77777777" w:rsidR="00F34A42" w:rsidRPr="00CE7D33" w:rsidRDefault="00F34A42" w:rsidP="00F34A42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</w:tr>
      <w:tr w:rsidR="000D6EDC" w:rsidRPr="00DF1C53" w14:paraId="41473734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89548" w14:textId="25FC0450" w:rsidR="000D6EDC" w:rsidRPr="00BA6A2E" w:rsidRDefault="000D6EDC" w:rsidP="000D6EDC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13</w:t>
            </w:r>
          </w:p>
        </w:tc>
        <w:tc>
          <w:tcPr>
            <w:tcW w:w="1715" w:type="dxa"/>
          </w:tcPr>
          <w:p w14:paraId="6A33F519" w14:textId="503E4222" w:rsidR="000D6EDC" w:rsidRPr="00BA6A2E" w:rsidRDefault="000D6EDC" w:rsidP="000D6EDC">
            <w:pPr>
              <w:pStyle w:val="NoSpacing"/>
              <w:rPr>
                <w:sz w:val="18"/>
                <w:szCs w:val="18"/>
                <w:highlight w:val="yellow"/>
              </w:rPr>
            </w:pPr>
            <w:proofErr w:type="spellStart"/>
            <w:r w:rsidRPr="0022237C">
              <w:rPr>
                <w:sz w:val="18"/>
                <w:szCs w:val="18"/>
              </w:rPr>
              <w:t>Medicamentos</w:t>
            </w:r>
            <w:proofErr w:type="spellEnd"/>
          </w:p>
        </w:tc>
        <w:tc>
          <w:tcPr>
            <w:tcW w:w="2043" w:type="dxa"/>
          </w:tcPr>
          <w:p w14:paraId="60EBD8A5" w14:textId="7F7C00B8" w:rsidR="000D6EDC" w:rsidRPr="00CE7D33" w:rsidRDefault="000D6EDC" w:rsidP="000D6EDC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medicamentos no deben estar presentes en las áreas de procesamiento de alimentos.  Deben guardarse en un casillero y administrarse solo en vestuarios, salas de descanso o áreas de almuerzo.</w:t>
            </w:r>
          </w:p>
        </w:tc>
        <w:tc>
          <w:tcPr>
            <w:tcW w:w="590" w:type="dxa"/>
          </w:tcPr>
          <w:p w14:paraId="52E3270E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F5E1A40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822051C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6FA35B45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  <w:p w14:paraId="1C2AC064" w14:textId="2A03D231" w:rsidR="005D6901" w:rsidRPr="00CE7D33" w:rsidRDefault="005D6901" w:rsidP="005D6901">
            <w:pPr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2F237F2A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7FD248FE" w14:textId="77777777" w:rsidR="000D6EDC" w:rsidRPr="00CE7D33" w:rsidRDefault="000D6EDC" w:rsidP="000D6EDC">
            <w:pPr>
              <w:pStyle w:val="NoSpacing"/>
              <w:rPr>
                <w:rFonts w:eastAsia="Calibri"/>
                <w:lang w:val="pt-PT"/>
              </w:rPr>
            </w:pPr>
          </w:p>
        </w:tc>
      </w:tr>
      <w:bookmarkEnd w:id="2"/>
      <w:tr w:rsidR="00246939" w:rsidRPr="00DF1C53" w14:paraId="378D5621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297071" w14:textId="77777777" w:rsidR="00246939" w:rsidRPr="000D6EDC" w:rsidRDefault="00246939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14</w:t>
            </w:r>
          </w:p>
        </w:tc>
        <w:tc>
          <w:tcPr>
            <w:tcW w:w="1715" w:type="dxa"/>
          </w:tcPr>
          <w:p w14:paraId="15CB5441" w14:textId="77777777" w:rsidR="00246939" w:rsidRDefault="00246939" w:rsidP="00774E51">
            <w:pPr>
              <w:rPr>
                <w:sz w:val="18"/>
                <w:szCs w:val="18"/>
              </w:rPr>
            </w:pPr>
          </w:p>
          <w:p w14:paraId="346BF3BE" w14:textId="77777777" w:rsidR="00246939" w:rsidRDefault="00246939" w:rsidP="00774E51">
            <w:pPr>
              <w:rPr>
                <w:sz w:val="18"/>
                <w:szCs w:val="18"/>
              </w:rPr>
            </w:pPr>
          </w:p>
          <w:p w14:paraId="2C72875B" w14:textId="77777777" w:rsidR="00246939" w:rsidRPr="000D6EDC" w:rsidRDefault="00246939" w:rsidP="00774E5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E63AC">
              <w:rPr>
                <w:sz w:val="18"/>
                <w:szCs w:val="18"/>
              </w:rPr>
              <w:t>Identificación</w:t>
            </w:r>
            <w:proofErr w:type="spellEnd"/>
            <w:r w:rsidRPr="00FE63AC">
              <w:rPr>
                <w:sz w:val="18"/>
                <w:szCs w:val="18"/>
              </w:rPr>
              <w:t xml:space="preserve"> de </w:t>
            </w:r>
            <w:proofErr w:type="spellStart"/>
            <w:r w:rsidRPr="00FE63AC">
              <w:rPr>
                <w:sz w:val="18"/>
                <w:szCs w:val="18"/>
              </w:rPr>
              <w:t>materiales</w:t>
            </w:r>
            <w:proofErr w:type="spellEnd"/>
          </w:p>
        </w:tc>
        <w:tc>
          <w:tcPr>
            <w:tcW w:w="2043" w:type="dxa"/>
          </w:tcPr>
          <w:p w14:paraId="40BF84E7" w14:textId="77777777" w:rsidR="00246939" w:rsidRPr="00CE7D33" w:rsidRDefault="00246939" w:rsidP="00774E51">
            <w:pPr>
              <w:rPr>
                <w:sz w:val="18"/>
                <w:szCs w:val="18"/>
                <w:lang w:val="pt-PT"/>
              </w:rPr>
            </w:pPr>
          </w:p>
          <w:p w14:paraId="0E5A5967" w14:textId="77777777" w:rsidR="00246939" w:rsidRPr="00CE7D33" w:rsidRDefault="00246939" w:rsidP="00774E51">
            <w:pPr>
              <w:rPr>
                <w:sz w:val="18"/>
                <w:szCs w:val="18"/>
                <w:lang w:val="pt-PT"/>
              </w:rPr>
            </w:pPr>
          </w:p>
          <w:p w14:paraId="3B2482D5" w14:textId="77777777" w:rsidR="00246939" w:rsidRPr="00CE7D33" w:rsidRDefault="00246939" w:rsidP="00774E51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Todos los materiales deben estar claramente etiquetados y fechados.</w:t>
            </w:r>
          </w:p>
        </w:tc>
        <w:tc>
          <w:tcPr>
            <w:tcW w:w="590" w:type="dxa"/>
          </w:tcPr>
          <w:p w14:paraId="02BC0AFC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02FE24B7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AD338AD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4323E87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569592CA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32D2FBE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1D32B7AA" w14:textId="3DBCC11C" w:rsidR="00523F67" w:rsidRPr="00CE7D33" w:rsidRDefault="00523F67">
      <w:pPr>
        <w:rPr>
          <w:rFonts w:eastAsia="Calibri"/>
          <w:sz w:val="22"/>
          <w:lang w:val="pt-PT"/>
        </w:rPr>
      </w:pPr>
    </w:p>
    <w:p w14:paraId="0D492C89" w14:textId="4B3E43AF" w:rsidR="00523F67" w:rsidRPr="00CE7D33" w:rsidRDefault="00523F67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523F67" w:rsidRPr="000D6EDC" w14:paraId="4159E53C" w14:textId="77777777" w:rsidTr="006B4D5E">
        <w:trPr>
          <w:trHeight w:val="665"/>
        </w:trPr>
        <w:tc>
          <w:tcPr>
            <w:tcW w:w="516" w:type="dxa"/>
            <w:vMerge w:val="restart"/>
          </w:tcPr>
          <w:p w14:paraId="63501EFD" w14:textId="77777777" w:rsidR="00523F67" w:rsidRPr="00CE7D33" w:rsidRDefault="00523F67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13C1A8B4" w14:textId="77777777" w:rsidR="00523F67" w:rsidRPr="00CE7D33" w:rsidRDefault="00523F67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0771BE3C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319BCA28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40A72983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67F05D48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0B377311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694619D5" w14:textId="77777777" w:rsidR="00523F67" w:rsidRPr="000D6EDC" w:rsidRDefault="00523F67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523F67" w:rsidRPr="000D6EDC" w14:paraId="105D0FC9" w14:textId="77777777" w:rsidTr="006B4D5E">
        <w:tc>
          <w:tcPr>
            <w:tcW w:w="516" w:type="dxa"/>
            <w:vMerge/>
          </w:tcPr>
          <w:p w14:paraId="30BBF502" w14:textId="77777777" w:rsidR="00523F67" w:rsidRPr="000D6EDC" w:rsidRDefault="00523F67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35B308C5" w14:textId="77777777" w:rsidR="00523F67" w:rsidRPr="000D6EDC" w:rsidRDefault="00523F67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30644C80" w14:textId="77777777" w:rsidR="00523F67" w:rsidRPr="000D6EDC" w:rsidRDefault="00523F67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12D7A9A9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76948618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3AE92E6C" w14:textId="77777777" w:rsidR="00523F67" w:rsidRPr="000D6EDC" w:rsidRDefault="00523F67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1EA6A7B3" w14:textId="77777777" w:rsidR="00523F67" w:rsidRPr="000D6EDC" w:rsidRDefault="00523F67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7A7C35EC" w14:textId="77777777" w:rsidR="00523F67" w:rsidRPr="000D6EDC" w:rsidRDefault="00523F67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0A2D8BE9" w14:textId="77777777" w:rsidR="00523F67" w:rsidRPr="000D6EDC" w:rsidRDefault="00523F67" w:rsidP="006B4D5E">
            <w:pPr>
              <w:rPr>
                <w:rFonts w:eastAsia="Calibri"/>
              </w:rPr>
            </w:pPr>
          </w:p>
        </w:tc>
      </w:tr>
      <w:tr w:rsidR="00DD5936" w:rsidRPr="00DF1C53" w14:paraId="14599DB2" w14:textId="77777777" w:rsidTr="006B4D5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BC65B5B" w14:textId="1055F576" w:rsidR="00DD5936" w:rsidRPr="000D6EDC" w:rsidRDefault="00DD5936" w:rsidP="00DD5936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15</w:t>
            </w:r>
          </w:p>
        </w:tc>
        <w:tc>
          <w:tcPr>
            <w:tcW w:w="1715" w:type="dxa"/>
          </w:tcPr>
          <w:p w14:paraId="4CB65974" w14:textId="77777777" w:rsidR="00DD5936" w:rsidRPr="00CE7D33" w:rsidRDefault="00DD5936" w:rsidP="00DD5936">
            <w:pPr>
              <w:pStyle w:val="NoSpacing"/>
              <w:rPr>
                <w:sz w:val="18"/>
                <w:szCs w:val="18"/>
                <w:lang w:val="pt-PT"/>
              </w:rPr>
            </w:pPr>
          </w:p>
          <w:p w14:paraId="03AB9EA2" w14:textId="0A9289B7" w:rsidR="00DD5936" w:rsidRPr="00CE7D33" w:rsidRDefault="00DD5936" w:rsidP="00DD5936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Prácticas de recepción, almacenamiento y envío</w:t>
            </w:r>
          </w:p>
        </w:tc>
        <w:tc>
          <w:tcPr>
            <w:tcW w:w="2043" w:type="dxa"/>
          </w:tcPr>
          <w:p w14:paraId="69F167F8" w14:textId="32B9EB67" w:rsidR="00DD5936" w:rsidRPr="00CE7D33" w:rsidRDefault="00DD5936" w:rsidP="00DD5936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El personal de la planta realiza inspecciones documentadas de los vehículos entrantes y salientes para la limpieza general y las condiciones físicas.</w:t>
            </w:r>
          </w:p>
        </w:tc>
        <w:tc>
          <w:tcPr>
            <w:tcW w:w="590" w:type="dxa"/>
          </w:tcPr>
          <w:p w14:paraId="6D2E7AFE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B3163AD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0C9B200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4BE6EC8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48ACE51E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BDE907C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DD5936" w:rsidRPr="00DF1C53" w14:paraId="3E81DE84" w14:textId="77777777" w:rsidTr="00A732E7">
        <w:tc>
          <w:tcPr>
            <w:tcW w:w="516" w:type="dxa"/>
            <w:tcBorders>
              <w:left w:val="single" w:sz="4" w:space="0" w:color="auto"/>
            </w:tcBorders>
          </w:tcPr>
          <w:p w14:paraId="4D03756D" w14:textId="65092E32" w:rsidR="00DD5936" w:rsidRPr="00CE7D33" w:rsidRDefault="007F1D6F" w:rsidP="00DD5936">
            <w:pPr>
              <w:pStyle w:val="NoSpacing"/>
              <w:rPr>
                <w:rFonts w:eastAsia="Calibri"/>
                <w:b/>
                <w:sz w:val="18"/>
                <w:szCs w:val="18"/>
                <w:lang w:val="pt-PT"/>
              </w:rPr>
            </w:pPr>
            <w:r>
              <w:rPr>
                <w:rFonts w:eastAsia="Calibri"/>
                <w:b/>
                <w:noProof/>
                <w:sz w:val="18"/>
                <w:szCs w:val="18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3E2A54" wp14:editId="241ED19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711200</wp:posOffset>
                      </wp:positionV>
                      <wp:extent cx="6941820" cy="0"/>
                      <wp:effectExtent l="0" t="0" r="0" b="0"/>
                      <wp:wrapNone/>
                      <wp:docPr id="24253738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1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98D0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6pt" to="541.8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" strokecolor="black [3040]"/>
                  </w:pict>
                </mc:Fallback>
              </mc:AlternateContent>
            </w:r>
          </w:p>
        </w:tc>
        <w:tc>
          <w:tcPr>
            <w:tcW w:w="1715" w:type="dxa"/>
          </w:tcPr>
          <w:p w14:paraId="18BCC68B" w14:textId="552157F3" w:rsidR="00DD5936" w:rsidRPr="00CE7D33" w:rsidRDefault="00DD5936" w:rsidP="00DD5936">
            <w:pPr>
              <w:pStyle w:val="NoSpacing"/>
              <w:rPr>
                <w:sz w:val="16"/>
                <w:szCs w:val="16"/>
                <w:lang w:val="pt-PT"/>
              </w:rPr>
            </w:pPr>
          </w:p>
        </w:tc>
        <w:tc>
          <w:tcPr>
            <w:tcW w:w="2043" w:type="dxa"/>
          </w:tcPr>
          <w:p w14:paraId="421A60AB" w14:textId="3A71A75D" w:rsidR="009C5C43" w:rsidRDefault="00DD5936" w:rsidP="009C5C43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fechas de recepción se colocan en las unidades inferiores de 2 lados adyacentes de la paleta.</w:t>
            </w:r>
          </w:p>
          <w:p w14:paraId="1C315EEE" w14:textId="77777777" w:rsidR="007F1D6F" w:rsidRPr="009C5C43" w:rsidRDefault="007F1D6F" w:rsidP="009C5C43">
            <w:pPr>
              <w:pStyle w:val="NoSpacing"/>
              <w:rPr>
                <w:sz w:val="18"/>
                <w:szCs w:val="18"/>
                <w:lang w:val="pt-PT"/>
              </w:rPr>
            </w:pPr>
          </w:p>
          <w:p w14:paraId="76F1CA8E" w14:textId="352E73E0" w:rsidR="009C5C43" w:rsidRPr="009C5C43" w:rsidRDefault="009C5C43" w:rsidP="00DD5936">
            <w:pPr>
              <w:pStyle w:val="NoSpacing"/>
              <w:rPr>
                <w:sz w:val="18"/>
                <w:szCs w:val="18"/>
                <w:lang w:val="pt-PT"/>
              </w:rPr>
            </w:pPr>
            <w:r w:rsidRPr="009C5C43">
              <w:rPr>
                <w:sz w:val="18"/>
                <w:szCs w:val="18"/>
                <w:lang w:val="pt-PT"/>
              </w:rPr>
              <w:t>Las hojas deslizantes se utilizan entre paletas y bolsas de ingredientes y entre paletas apiladas dobles para proteger los ingredientes de daños.</w:t>
            </w:r>
          </w:p>
        </w:tc>
        <w:tc>
          <w:tcPr>
            <w:tcW w:w="590" w:type="dxa"/>
          </w:tcPr>
          <w:p w14:paraId="34F4999B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6B59811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1F9785F7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12FB1AA4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4639CB1D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3231E097" w14:textId="77777777" w:rsidR="00DD5936" w:rsidRPr="00CE7D33" w:rsidRDefault="00DD5936" w:rsidP="00DD5936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AD15AB" w:rsidRPr="00DF1C53" w14:paraId="2967AF29" w14:textId="77777777" w:rsidTr="00B6269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249BE" w14:textId="446C90A6" w:rsidR="00AD15AB" w:rsidRPr="00BA6A2E" w:rsidRDefault="00AD15AB" w:rsidP="00AD15AB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16</w:t>
            </w:r>
          </w:p>
        </w:tc>
        <w:tc>
          <w:tcPr>
            <w:tcW w:w="1715" w:type="dxa"/>
          </w:tcPr>
          <w:p w14:paraId="6513C50E" w14:textId="13F61A55" w:rsidR="00AD15AB" w:rsidRPr="00CE7D33" w:rsidRDefault="00AD15AB" w:rsidP="00AD15AB">
            <w:pPr>
              <w:pStyle w:val="NoSpacing"/>
              <w:rPr>
                <w:sz w:val="18"/>
                <w:szCs w:val="18"/>
                <w:highlight w:val="yellow"/>
                <w:lang w:val="pt-PT"/>
              </w:rPr>
            </w:pPr>
            <w:r w:rsidRPr="00CE7D33">
              <w:rPr>
                <w:sz w:val="18"/>
                <w:lang w:val="pt-PT"/>
              </w:rPr>
              <w:t>Perímetros en áreas de almacenamiento</w:t>
            </w:r>
          </w:p>
        </w:tc>
        <w:tc>
          <w:tcPr>
            <w:tcW w:w="2043" w:type="dxa"/>
          </w:tcPr>
          <w:p w14:paraId="427B8B6B" w14:textId="635CE32D" w:rsidR="00AD15AB" w:rsidRPr="00CE7D33" w:rsidRDefault="00AD15AB" w:rsidP="00AD15AB">
            <w:pPr>
              <w:pStyle w:val="NoSpacing"/>
              <w:rPr>
                <w:sz w:val="18"/>
                <w:szCs w:val="20"/>
                <w:highlight w:val="yellow"/>
                <w:lang w:val="pt-PT"/>
              </w:rPr>
            </w:pPr>
            <w:r w:rsidRPr="00CE7D33">
              <w:rPr>
                <w:sz w:val="18"/>
                <w:lang w:val="pt-PT"/>
              </w:rPr>
              <w:t>Mantenga al menos un perímetro claro y limpio de 18 pulgadas alrededor de los materiales almacenados, incluso en las áreas de producción.</w:t>
            </w:r>
          </w:p>
        </w:tc>
        <w:tc>
          <w:tcPr>
            <w:tcW w:w="590" w:type="dxa"/>
          </w:tcPr>
          <w:p w14:paraId="18A05FD7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22" w:type="dxa"/>
          </w:tcPr>
          <w:p w14:paraId="5B897805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44" w:type="dxa"/>
          </w:tcPr>
          <w:p w14:paraId="43CE4B81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359" w:type="dxa"/>
          </w:tcPr>
          <w:p w14:paraId="5C337F16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833" w:type="dxa"/>
          </w:tcPr>
          <w:p w14:paraId="3E9F460F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694" w:type="dxa"/>
          </w:tcPr>
          <w:p w14:paraId="7F4F89D5" w14:textId="77777777" w:rsidR="00AD15AB" w:rsidRPr="00CE7D33" w:rsidRDefault="00AD15AB" w:rsidP="00AD15AB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</w:tr>
      <w:tr w:rsidR="00595CA5" w:rsidRPr="00BA6A2E" w14:paraId="3E116334" w14:textId="77777777" w:rsidTr="003530F5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09B77843" w14:textId="5E6B9CF1" w:rsidR="00595CA5" w:rsidRPr="00BA6A2E" w:rsidRDefault="00595CA5" w:rsidP="00595CA5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17</w:t>
            </w:r>
          </w:p>
        </w:tc>
        <w:tc>
          <w:tcPr>
            <w:tcW w:w="1715" w:type="dxa"/>
          </w:tcPr>
          <w:p w14:paraId="5E8D56F0" w14:textId="6170BA51" w:rsidR="00595CA5" w:rsidRPr="00CE7D33" w:rsidRDefault="00595CA5" w:rsidP="00595CA5">
            <w:pPr>
              <w:pStyle w:val="NoSpacing"/>
              <w:rPr>
                <w:sz w:val="18"/>
                <w:szCs w:val="18"/>
                <w:highlight w:val="yellow"/>
                <w:lang w:val="pt-PT"/>
              </w:rPr>
            </w:pPr>
            <w:r w:rsidRPr="00CE7D33">
              <w:rPr>
                <w:sz w:val="18"/>
                <w:lang w:val="pt-PT"/>
              </w:rPr>
              <w:t>Áreas de pesar y preparacion de ingredientes</w:t>
            </w:r>
          </w:p>
        </w:tc>
        <w:tc>
          <w:tcPr>
            <w:tcW w:w="2043" w:type="dxa"/>
          </w:tcPr>
          <w:p w14:paraId="6F4D22A8" w14:textId="3CA89D6D" w:rsidR="00595CA5" w:rsidRPr="00BA6A2E" w:rsidRDefault="00595CA5" w:rsidP="00595CA5">
            <w:pPr>
              <w:pStyle w:val="NoSpacing"/>
              <w:rPr>
                <w:sz w:val="18"/>
                <w:szCs w:val="20"/>
                <w:highlight w:val="yellow"/>
              </w:rPr>
            </w:pPr>
            <w:r w:rsidRPr="00CE7D33">
              <w:rPr>
                <w:sz w:val="18"/>
                <w:lang w:val="pt-PT"/>
              </w:rPr>
              <w:t xml:space="preserve">Los ingredientes escamados y/o por etapas se mantienen en recipientes sellados o cubiertos. (es decir, bolsas, cajas, recipientes de plástico) Todos los ingredientes están fuera del suelo.  </w:t>
            </w:r>
            <w:proofErr w:type="spellStart"/>
            <w:r w:rsidRPr="00CC06BF">
              <w:rPr>
                <w:sz w:val="18"/>
              </w:rPr>
              <w:t>Área</w:t>
            </w:r>
            <w:proofErr w:type="spellEnd"/>
            <w:r w:rsidRPr="00CC06BF">
              <w:rPr>
                <w:sz w:val="18"/>
              </w:rPr>
              <w:t xml:space="preserve"> libre de </w:t>
            </w:r>
            <w:proofErr w:type="spellStart"/>
            <w:r w:rsidRPr="00CC06BF">
              <w:rPr>
                <w:sz w:val="18"/>
              </w:rPr>
              <w:t>productos</w:t>
            </w:r>
            <w:proofErr w:type="spellEnd"/>
            <w:r w:rsidRPr="00CC06BF">
              <w:rPr>
                <w:sz w:val="18"/>
              </w:rPr>
              <w:t xml:space="preserve"> </w:t>
            </w:r>
            <w:proofErr w:type="spellStart"/>
            <w:r w:rsidRPr="00CC06BF">
              <w:rPr>
                <w:sz w:val="18"/>
              </w:rPr>
              <w:t>químicos</w:t>
            </w:r>
            <w:proofErr w:type="spellEnd"/>
            <w:r w:rsidRPr="00CC06BF">
              <w:rPr>
                <w:sz w:val="18"/>
              </w:rPr>
              <w:t xml:space="preserve"> / </w:t>
            </w:r>
            <w:proofErr w:type="spellStart"/>
            <w:r w:rsidRPr="00CC06BF">
              <w:rPr>
                <w:sz w:val="18"/>
              </w:rPr>
              <w:t>lubricantes</w:t>
            </w:r>
            <w:proofErr w:type="spellEnd"/>
          </w:p>
        </w:tc>
        <w:tc>
          <w:tcPr>
            <w:tcW w:w="590" w:type="dxa"/>
          </w:tcPr>
          <w:p w14:paraId="7D376F54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  <w:tc>
          <w:tcPr>
            <w:tcW w:w="622" w:type="dxa"/>
          </w:tcPr>
          <w:p w14:paraId="52B6E3B9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  <w:tc>
          <w:tcPr>
            <w:tcW w:w="644" w:type="dxa"/>
          </w:tcPr>
          <w:p w14:paraId="4D4B13F0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  <w:tc>
          <w:tcPr>
            <w:tcW w:w="1359" w:type="dxa"/>
          </w:tcPr>
          <w:p w14:paraId="5448AEF6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  <w:tc>
          <w:tcPr>
            <w:tcW w:w="1833" w:type="dxa"/>
          </w:tcPr>
          <w:p w14:paraId="036CE5DE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  <w:tc>
          <w:tcPr>
            <w:tcW w:w="1694" w:type="dxa"/>
          </w:tcPr>
          <w:p w14:paraId="03BB289B" w14:textId="77777777" w:rsidR="00595CA5" w:rsidRPr="00BA6A2E" w:rsidRDefault="00595CA5" w:rsidP="00595CA5">
            <w:pPr>
              <w:pStyle w:val="NoSpacing"/>
              <w:rPr>
                <w:rFonts w:eastAsia="Calibri"/>
                <w:highlight w:val="yellow"/>
              </w:rPr>
            </w:pPr>
          </w:p>
        </w:tc>
      </w:tr>
      <w:tr w:rsidR="00EB0E2C" w:rsidRPr="00DF1C53" w14:paraId="519A6EA9" w14:textId="77777777" w:rsidTr="006B4D5E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1791C4" w14:textId="17EE248F" w:rsidR="00EB0E2C" w:rsidRPr="00BA6A2E" w:rsidRDefault="00EB0E2C" w:rsidP="00EB0E2C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 w:rsidRPr="00EB0E2C">
              <w:rPr>
                <w:rFonts w:eastAsia="Calibri"/>
                <w:b/>
                <w:sz w:val="18"/>
                <w:szCs w:val="18"/>
              </w:rPr>
              <w:t>18</w:t>
            </w:r>
          </w:p>
        </w:tc>
        <w:tc>
          <w:tcPr>
            <w:tcW w:w="1715" w:type="dxa"/>
          </w:tcPr>
          <w:p w14:paraId="5F4B0ECB" w14:textId="77777777" w:rsidR="00EB0E2C" w:rsidRPr="00CE7D33" w:rsidRDefault="00EB0E2C" w:rsidP="00EB0E2C">
            <w:pPr>
              <w:rPr>
                <w:sz w:val="18"/>
                <w:szCs w:val="18"/>
                <w:lang w:val="pt-PT"/>
              </w:rPr>
            </w:pPr>
          </w:p>
          <w:p w14:paraId="5D8368EC" w14:textId="77777777" w:rsidR="00EB0E2C" w:rsidRPr="00CE7D33" w:rsidRDefault="00EB0E2C" w:rsidP="00EB0E2C">
            <w:pPr>
              <w:rPr>
                <w:sz w:val="18"/>
                <w:szCs w:val="18"/>
                <w:lang w:val="pt-PT"/>
              </w:rPr>
            </w:pPr>
          </w:p>
          <w:p w14:paraId="6F3FD7CE" w14:textId="155D0426" w:rsidR="00EB0E2C" w:rsidRPr="00CE7D33" w:rsidRDefault="00EB0E2C" w:rsidP="00EB0E2C">
            <w:pPr>
              <w:pStyle w:val="NoSpacing"/>
              <w:rPr>
                <w:sz w:val="18"/>
                <w:szCs w:val="18"/>
                <w:highlight w:val="yellow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Utensilios y contenedores de producción</w:t>
            </w:r>
          </w:p>
        </w:tc>
        <w:tc>
          <w:tcPr>
            <w:tcW w:w="2043" w:type="dxa"/>
          </w:tcPr>
          <w:p w14:paraId="2C74D430" w14:textId="77777777" w:rsidR="00EB0E2C" w:rsidRPr="00CE7D33" w:rsidRDefault="00EB0E2C" w:rsidP="00EB0E2C">
            <w:pPr>
              <w:rPr>
                <w:sz w:val="18"/>
                <w:szCs w:val="20"/>
                <w:lang w:val="pt-PT"/>
              </w:rPr>
            </w:pPr>
          </w:p>
          <w:p w14:paraId="18FCF9A0" w14:textId="77777777" w:rsidR="00EB0E2C" w:rsidRPr="00CE7D33" w:rsidRDefault="00EB0E2C" w:rsidP="00EB0E2C">
            <w:pPr>
              <w:rPr>
                <w:sz w:val="18"/>
                <w:szCs w:val="20"/>
                <w:lang w:val="pt-PT"/>
              </w:rPr>
            </w:pPr>
          </w:p>
          <w:p w14:paraId="7F46DE3C" w14:textId="3C012DD7" w:rsidR="00EB0E2C" w:rsidRPr="00CE7D33" w:rsidRDefault="00EB0E2C" w:rsidP="00EB0E2C">
            <w:pPr>
              <w:pStyle w:val="NoSpacing"/>
              <w:rPr>
                <w:sz w:val="18"/>
                <w:szCs w:val="20"/>
                <w:highlight w:val="yellow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Los utensilios son de diseño sanitario y adecuados para la aplicación. Los utensilios / recipientes están codificados por colores para evitar el uso indebido.</w:t>
            </w:r>
          </w:p>
        </w:tc>
        <w:tc>
          <w:tcPr>
            <w:tcW w:w="590" w:type="dxa"/>
          </w:tcPr>
          <w:p w14:paraId="5CC8B348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22" w:type="dxa"/>
          </w:tcPr>
          <w:p w14:paraId="1A92CB5E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644" w:type="dxa"/>
          </w:tcPr>
          <w:p w14:paraId="0C909271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359" w:type="dxa"/>
          </w:tcPr>
          <w:p w14:paraId="214EC2DB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833" w:type="dxa"/>
          </w:tcPr>
          <w:p w14:paraId="6596222C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  <w:tc>
          <w:tcPr>
            <w:tcW w:w="1694" w:type="dxa"/>
          </w:tcPr>
          <w:p w14:paraId="4BA9F14A" w14:textId="77777777" w:rsidR="00EB0E2C" w:rsidRPr="00CE7D33" w:rsidRDefault="00EB0E2C" w:rsidP="00EB0E2C">
            <w:pPr>
              <w:pStyle w:val="NoSpacing"/>
              <w:rPr>
                <w:rFonts w:eastAsia="Calibri"/>
                <w:highlight w:val="yellow"/>
                <w:lang w:val="pt-PT"/>
              </w:rPr>
            </w:pPr>
          </w:p>
        </w:tc>
      </w:tr>
      <w:tr w:rsidR="00B3101A" w:rsidRPr="00DF1C53" w14:paraId="17DE947C" w14:textId="77777777" w:rsidTr="000F4ADF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2C942DE0" w14:textId="7FD6C7D4" w:rsidR="00B3101A" w:rsidRPr="00BA6A2E" w:rsidRDefault="00B3101A" w:rsidP="00B3101A">
            <w:pPr>
              <w:pStyle w:val="NoSpacing"/>
              <w:rPr>
                <w:rFonts w:eastAsia="Calibri"/>
                <w:b/>
                <w:sz w:val="18"/>
                <w:szCs w:val="18"/>
                <w:highlight w:val="yellow"/>
              </w:rPr>
            </w:pPr>
            <w:r>
              <w:rPr>
                <w:rFonts w:eastAsia="Calibri"/>
                <w:b/>
                <w:sz w:val="18"/>
                <w:szCs w:val="18"/>
              </w:rPr>
              <w:t>19</w:t>
            </w:r>
          </w:p>
        </w:tc>
        <w:tc>
          <w:tcPr>
            <w:tcW w:w="1715" w:type="dxa"/>
          </w:tcPr>
          <w:p w14:paraId="4BB0B41B" w14:textId="6DBD1BAE" w:rsidR="00B3101A" w:rsidRPr="00BA6A2E" w:rsidRDefault="00B3101A" w:rsidP="00B3101A">
            <w:pPr>
              <w:pStyle w:val="NoSpacing"/>
              <w:rPr>
                <w:sz w:val="18"/>
                <w:szCs w:val="18"/>
                <w:highlight w:val="yellow"/>
              </w:rPr>
            </w:pPr>
            <w:proofErr w:type="spellStart"/>
            <w:r w:rsidRPr="00675B46">
              <w:rPr>
                <w:sz w:val="18"/>
                <w:szCs w:val="18"/>
              </w:rPr>
              <w:t>Protección</w:t>
            </w:r>
            <w:proofErr w:type="spellEnd"/>
            <w:r w:rsidRPr="00675B46">
              <w:rPr>
                <w:sz w:val="18"/>
                <w:szCs w:val="18"/>
              </w:rPr>
              <w:t xml:space="preserve"> del </w:t>
            </w:r>
            <w:proofErr w:type="spellStart"/>
            <w:r w:rsidRPr="00675B46">
              <w:rPr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2043" w:type="dxa"/>
          </w:tcPr>
          <w:p w14:paraId="54FA3F75" w14:textId="0ADBD23B" w:rsidR="00B3101A" w:rsidRPr="00CE7D33" w:rsidRDefault="00B3101A" w:rsidP="00B3101A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Se toman precauciones para garantizar que los ingredientes y el producto en progreso estén debidamente cubiertos, etiquetados y fechados.</w:t>
            </w:r>
          </w:p>
        </w:tc>
        <w:tc>
          <w:tcPr>
            <w:tcW w:w="590" w:type="dxa"/>
          </w:tcPr>
          <w:p w14:paraId="1F614891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229AD14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3E1C044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699CF0A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5A88069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7C530472" w14:textId="77777777" w:rsidR="00B3101A" w:rsidRPr="00CE7D33" w:rsidRDefault="00B3101A" w:rsidP="00B3101A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07E5EEC5" w14:textId="1B05C1A0" w:rsidR="00431628" w:rsidRPr="00CE7D33" w:rsidRDefault="00431628">
      <w:pPr>
        <w:rPr>
          <w:rFonts w:eastAsia="Calibri"/>
          <w:sz w:val="22"/>
          <w:lang w:val="pt-PT"/>
        </w:rPr>
      </w:pPr>
    </w:p>
    <w:p w14:paraId="46E1EA98" w14:textId="63F1B065" w:rsidR="00431628" w:rsidRPr="00CE7D33" w:rsidRDefault="00431628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431628" w:rsidRPr="000D6EDC" w14:paraId="7F09B0BC" w14:textId="77777777" w:rsidTr="00246939">
        <w:trPr>
          <w:trHeight w:val="665"/>
        </w:trPr>
        <w:tc>
          <w:tcPr>
            <w:tcW w:w="516" w:type="dxa"/>
            <w:vMerge w:val="restart"/>
          </w:tcPr>
          <w:p w14:paraId="6633185B" w14:textId="77777777" w:rsidR="00431628" w:rsidRPr="00CE7D33" w:rsidRDefault="00431628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513A3C3D" w14:textId="77777777" w:rsidR="00431628" w:rsidRPr="00CE7D33" w:rsidRDefault="00431628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4225E08E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42246CBF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0A6CA7F8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05747AA3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609172C4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46ECA1D8" w14:textId="77777777" w:rsidR="00431628" w:rsidRPr="000D6EDC" w:rsidRDefault="00431628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 w:rsidRPr="000D6EDC"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 w:rsidRPr="000D6EDC"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431628" w:rsidRPr="000D6EDC" w14:paraId="0FC43589" w14:textId="77777777" w:rsidTr="00246939">
        <w:tc>
          <w:tcPr>
            <w:tcW w:w="516" w:type="dxa"/>
            <w:vMerge/>
          </w:tcPr>
          <w:p w14:paraId="31CE1143" w14:textId="77777777" w:rsidR="00431628" w:rsidRPr="000D6EDC" w:rsidRDefault="00431628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4978FFA5" w14:textId="77777777" w:rsidR="00431628" w:rsidRPr="000D6EDC" w:rsidRDefault="00431628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41F441A5" w14:textId="77777777" w:rsidR="00431628" w:rsidRPr="000D6EDC" w:rsidRDefault="00431628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52873593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281F320E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4FCFFAE8" w14:textId="77777777" w:rsidR="00431628" w:rsidRPr="000D6EDC" w:rsidRDefault="00431628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 w:rsidRPr="000D6EDC"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78D97C7B" w14:textId="77777777" w:rsidR="00431628" w:rsidRPr="000D6EDC" w:rsidRDefault="00431628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4A897198" w14:textId="77777777" w:rsidR="00431628" w:rsidRPr="000D6EDC" w:rsidRDefault="00431628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15D7B840" w14:textId="77777777" w:rsidR="00431628" w:rsidRPr="000D6EDC" w:rsidRDefault="00431628" w:rsidP="006B4D5E">
            <w:pPr>
              <w:rPr>
                <w:rFonts w:eastAsia="Calibri"/>
              </w:rPr>
            </w:pPr>
          </w:p>
        </w:tc>
      </w:tr>
      <w:tr w:rsidR="0084055D" w:rsidRPr="00DF1C53" w14:paraId="191359C8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5468AC7" w14:textId="35853C40" w:rsidR="0084055D" w:rsidRPr="000D6EDC" w:rsidRDefault="0084055D" w:rsidP="0084055D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6539DE" wp14:editId="6D69D296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2540</wp:posOffset>
                      </wp:positionV>
                      <wp:extent cx="66522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52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15E32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.2pt" to="544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" strokecolor="black [3040]"/>
                  </w:pict>
                </mc:Fallback>
              </mc:AlternateContent>
            </w:r>
            <w:r>
              <w:rPr>
                <w:rFonts w:eastAsia="Calibri"/>
                <w:b/>
                <w:sz w:val="18"/>
                <w:szCs w:val="18"/>
              </w:rPr>
              <w:t>20</w:t>
            </w:r>
          </w:p>
        </w:tc>
        <w:tc>
          <w:tcPr>
            <w:tcW w:w="1715" w:type="dxa"/>
          </w:tcPr>
          <w:p w14:paraId="2E46F579" w14:textId="0FC0B5A3" w:rsidR="0084055D" w:rsidRPr="00CE7D33" w:rsidRDefault="0084055D" w:rsidP="0084055D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Área de empaque y enfriamiento del pan.</w:t>
            </w:r>
          </w:p>
        </w:tc>
        <w:tc>
          <w:tcPr>
            <w:tcW w:w="2043" w:type="dxa"/>
          </w:tcPr>
          <w:p w14:paraId="7343DC20" w14:textId="6F04EC7A" w:rsidR="0084055D" w:rsidRPr="00CE7D33" w:rsidRDefault="0084055D" w:rsidP="0084055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6"/>
                <w:lang w:val="pt-PT"/>
              </w:rPr>
              <w:t>Las áreas limpias para un saneamiento adecuado, incluidas las superficies de contacto con el producto, el utensilio, la vestimenta personal y el uso adecuado del equipo personal, las áreas deben estar libres de obstrucción.</w:t>
            </w:r>
          </w:p>
        </w:tc>
        <w:tc>
          <w:tcPr>
            <w:tcW w:w="590" w:type="dxa"/>
          </w:tcPr>
          <w:p w14:paraId="0D60A82C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50204CDE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231B2EC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7A9CC25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58097B10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7EC2FA90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84055D" w:rsidRPr="00DF1C53" w14:paraId="6FF77BFA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1667FDB0" w14:textId="2AF1025A" w:rsidR="0084055D" w:rsidRPr="000D6EDC" w:rsidRDefault="0084055D" w:rsidP="0084055D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21</w:t>
            </w:r>
          </w:p>
        </w:tc>
        <w:tc>
          <w:tcPr>
            <w:tcW w:w="1715" w:type="dxa"/>
          </w:tcPr>
          <w:p w14:paraId="2E7C0CF9" w14:textId="7AF3FE40" w:rsidR="0084055D" w:rsidRPr="00CE7D33" w:rsidRDefault="0084055D" w:rsidP="0084055D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Política de codificación de colores</w:t>
            </w:r>
          </w:p>
        </w:tc>
        <w:tc>
          <w:tcPr>
            <w:tcW w:w="2043" w:type="dxa"/>
          </w:tcPr>
          <w:p w14:paraId="680A8399" w14:textId="7D6DC8FE" w:rsidR="0084055D" w:rsidRPr="00CE7D33" w:rsidRDefault="0084055D" w:rsidP="0084055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 política de codificación de colores se publica de manera visible en toda la instalación y la instalación se practica constantemente.</w:t>
            </w:r>
          </w:p>
        </w:tc>
        <w:tc>
          <w:tcPr>
            <w:tcW w:w="590" w:type="dxa"/>
          </w:tcPr>
          <w:p w14:paraId="766767EF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80B367B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135F3DC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6DD91D67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D49FA7E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5A1B9A33" w14:textId="77777777" w:rsidR="0084055D" w:rsidRPr="00CE7D33" w:rsidRDefault="0084055D" w:rsidP="0084055D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055490" w:rsidRPr="00DF1C53" w14:paraId="4EA6B5B5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045C23C7" w14:textId="39E62938" w:rsidR="00055490" w:rsidRPr="000D6EDC" w:rsidRDefault="00055490" w:rsidP="00055490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22</w:t>
            </w:r>
          </w:p>
        </w:tc>
        <w:tc>
          <w:tcPr>
            <w:tcW w:w="1715" w:type="dxa"/>
          </w:tcPr>
          <w:p w14:paraId="13F5AD87" w14:textId="4DC81253" w:rsidR="00055490" w:rsidRPr="000D6EDC" w:rsidRDefault="00055490" w:rsidP="00055490">
            <w:pPr>
              <w:pStyle w:val="NoSpacing"/>
              <w:rPr>
                <w:sz w:val="16"/>
                <w:szCs w:val="16"/>
              </w:rPr>
            </w:pPr>
            <w:r w:rsidRPr="00D36B30">
              <w:rPr>
                <w:sz w:val="18"/>
                <w:szCs w:val="18"/>
              </w:rPr>
              <w:t xml:space="preserve">Vidrio / </w:t>
            </w:r>
            <w:proofErr w:type="spellStart"/>
            <w:r w:rsidRPr="00D36B30">
              <w:rPr>
                <w:sz w:val="18"/>
                <w:szCs w:val="18"/>
              </w:rPr>
              <w:t>Plástico</w:t>
            </w:r>
            <w:proofErr w:type="spellEnd"/>
            <w:r w:rsidRPr="00D36B30">
              <w:rPr>
                <w:sz w:val="18"/>
                <w:szCs w:val="18"/>
              </w:rPr>
              <w:t xml:space="preserve"> </w:t>
            </w:r>
            <w:proofErr w:type="spellStart"/>
            <w:r w:rsidRPr="00D36B30">
              <w:rPr>
                <w:sz w:val="18"/>
                <w:szCs w:val="18"/>
              </w:rPr>
              <w:t>quebradizo</w:t>
            </w:r>
            <w:proofErr w:type="spellEnd"/>
          </w:p>
        </w:tc>
        <w:tc>
          <w:tcPr>
            <w:tcW w:w="2043" w:type="dxa"/>
          </w:tcPr>
          <w:p w14:paraId="530ED6BA" w14:textId="0F73D0D9" w:rsidR="00055490" w:rsidRPr="00CE7D33" w:rsidRDefault="00055490" w:rsidP="00055490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Se sigue el procedimiento para eliminar y contabilizar el vidrio / plástico quebradizo en un área de procesamiento o almacenamiento.</w:t>
            </w:r>
          </w:p>
        </w:tc>
        <w:tc>
          <w:tcPr>
            <w:tcW w:w="590" w:type="dxa"/>
          </w:tcPr>
          <w:p w14:paraId="7B5090BB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5CCD5D1A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D79A25C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E567D2F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670D6524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07EDF398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055490" w:rsidRPr="00DF1C53" w14:paraId="738CBEC8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6C95B007" w14:textId="691FCE60" w:rsidR="00055490" w:rsidRPr="000D6EDC" w:rsidRDefault="00055490" w:rsidP="00055490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23</w:t>
            </w:r>
          </w:p>
        </w:tc>
        <w:tc>
          <w:tcPr>
            <w:tcW w:w="1715" w:type="dxa"/>
          </w:tcPr>
          <w:p w14:paraId="458EDD20" w14:textId="043D25E6" w:rsidR="00055490" w:rsidRPr="00CE7D33" w:rsidRDefault="00055490" w:rsidP="00055490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Vidrio / Plásticos frágiles – Áreas de la Zona 1</w:t>
            </w:r>
          </w:p>
        </w:tc>
        <w:tc>
          <w:tcPr>
            <w:tcW w:w="2043" w:type="dxa"/>
          </w:tcPr>
          <w:p w14:paraId="14C5F3B6" w14:textId="38E3A70C" w:rsidR="00055490" w:rsidRPr="00CE7D33" w:rsidRDefault="00055490" w:rsidP="00055490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Todas las luces de plástico / vidrio quebradizas, los diales de los instrumentos están intactos y no están rotos o agrietados.</w:t>
            </w:r>
          </w:p>
        </w:tc>
        <w:tc>
          <w:tcPr>
            <w:tcW w:w="590" w:type="dxa"/>
          </w:tcPr>
          <w:p w14:paraId="092353DA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B5497A8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74ACA1E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3B38C2AE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B9168A1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64678CAD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055490" w:rsidRPr="00DF1C53" w14:paraId="77E3090C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97FFB1C" w14:textId="108C3D92" w:rsidR="00055490" w:rsidRPr="000D6EDC" w:rsidRDefault="00055490" w:rsidP="00055490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24</w:t>
            </w:r>
          </w:p>
        </w:tc>
        <w:tc>
          <w:tcPr>
            <w:tcW w:w="1715" w:type="dxa"/>
          </w:tcPr>
          <w:p w14:paraId="3DD15623" w14:textId="6F22C514" w:rsidR="00055490" w:rsidRPr="00CE7D33" w:rsidRDefault="00055490" w:rsidP="00055490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Ingredientes o materiales de empaque almacenados en el área de procesamiento</w:t>
            </w:r>
          </w:p>
        </w:tc>
        <w:tc>
          <w:tcPr>
            <w:tcW w:w="2043" w:type="dxa"/>
          </w:tcPr>
          <w:p w14:paraId="22E24506" w14:textId="23EF9591" w:rsidR="00055490" w:rsidRPr="00CE7D33" w:rsidRDefault="00055490" w:rsidP="00055490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ingredientes o materiales de empaque no deben almacenarse en un área de procesamiento.  Se pueden guardar en un área de procesamiento para su uso inmediato.</w:t>
            </w:r>
          </w:p>
        </w:tc>
        <w:tc>
          <w:tcPr>
            <w:tcW w:w="590" w:type="dxa"/>
          </w:tcPr>
          <w:p w14:paraId="5D7EB585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1068DF3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53808CED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05AB3E49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581365D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90F37F9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055490" w:rsidRPr="00DF1C53" w14:paraId="09553C3C" w14:textId="77777777" w:rsidTr="00246939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DEF709" w14:textId="0EEDDA29" w:rsidR="00055490" w:rsidRPr="000D6EDC" w:rsidRDefault="00D42EA7" w:rsidP="00055490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25</w:t>
            </w:r>
          </w:p>
        </w:tc>
        <w:tc>
          <w:tcPr>
            <w:tcW w:w="1715" w:type="dxa"/>
          </w:tcPr>
          <w:p w14:paraId="0711EF97" w14:textId="77777777" w:rsidR="008E3EA8" w:rsidRPr="00CE7D33" w:rsidRDefault="008E3EA8" w:rsidP="008E3EA8">
            <w:pPr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Almacenamiento separado de lubricantes.</w:t>
            </w:r>
          </w:p>
          <w:p w14:paraId="13B800D8" w14:textId="5621393D" w:rsidR="00055490" w:rsidRPr="000D6EDC" w:rsidRDefault="008E3EA8" w:rsidP="008E3EA8">
            <w:pPr>
              <w:pStyle w:val="NoSpacing"/>
              <w:rPr>
                <w:sz w:val="18"/>
                <w:szCs w:val="18"/>
              </w:rPr>
            </w:pPr>
            <w:r w:rsidRPr="00CE7D33">
              <w:rPr>
                <w:sz w:val="18"/>
                <w:szCs w:val="18"/>
                <w:lang w:val="pt-PT"/>
              </w:rPr>
              <w:t xml:space="preserve">1.- lubrincantes regulares, 2.- </w:t>
            </w:r>
            <w:proofErr w:type="spellStart"/>
            <w:r>
              <w:rPr>
                <w:sz w:val="18"/>
                <w:szCs w:val="18"/>
              </w:rPr>
              <w:t>Lubricantes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grado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alimenticio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43" w:type="dxa"/>
          </w:tcPr>
          <w:p w14:paraId="15051984" w14:textId="5D3E048E" w:rsidR="00055490" w:rsidRPr="00CE7D33" w:rsidRDefault="00D42EA7" w:rsidP="00055490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Producto terminado y/o materiales de embalaje almacenados cerca de lubricantes o quimicos que no sea de grado alimenticio.</w:t>
            </w:r>
          </w:p>
        </w:tc>
        <w:tc>
          <w:tcPr>
            <w:tcW w:w="590" w:type="dxa"/>
          </w:tcPr>
          <w:p w14:paraId="7FB09585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346514D7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4DD49F5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86B0B47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D9C8361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868D8E3" w14:textId="77777777" w:rsidR="00055490" w:rsidRPr="00CE7D33" w:rsidRDefault="00055490" w:rsidP="00055490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374415" w:rsidRPr="00DF1C53" w14:paraId="6B39FF48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25F46D04" w14:textId="7C8F1453" w:rsidR="00374415" w:rsidRPr="000D6EDC" w:rsidRDefault="00374415" w:rsidP="00374415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26</w:t>
            </w:r>
          </w:p>
        </w:tc>
        <w:tc>
          <w:tcPr>
            <w:tcW w:w="1715" w:type="dxa"/>
          </w:tcPr>
          <w:p w14:paraId="2D06F42B" w14:textId="180BA1C6" w:rsidR="00374415" w:rsidRPr="00CE7D33" w:rsidRDefault="00374415" w:rsidP="00374415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Paleta en área de almacenamiento</w:t>
            </w:r>
          </w:p>
        </w:tc>
        <w:tc>
          <w:tcPr>
            <w:tcW w:w="2043" w:type="dxa"/>
          </w:tcPr>
          <w:p w14:paraId="38BF2FDA" w14:textId="1149F8E2" w:rsidR="00374415" w:rsidRPr="00CE7D33" w:rsidRDefault="00374415" w:rsidP="00374415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paletas deben estar limpias y estructuralmente sólidas.</w:t>
            </w:r>
          </w:p>
        </w:tc>
        <w:tc>
          <w:tcPr>
            <w:tcW w:w="590" w:type="dxa"/>
          </w:tcPr>
          <w:p w14:paraId="199B7FFC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D89AC74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5A9CA0A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DB8AAAF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078FF99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CF26C85" w14:textId="77777777" w:rsidR="00374415" w:rsidRPr="00CE7D33" w:rsidRDefault="00374415" w:rsidP="00374415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46939" w:rsidRPr="00DF1C53" w14:paraId="5F672771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53AF58FC" w14:textId="77777777" w:rsidR="00246939" w:rsidRDefault="00246939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27</w:t>
            </w:r>
          </w:p>
        </w:tc>
        <w:tc>
          <w:tcPr>
            <w:tcW w:w="1715" w:type="dxa"/>
          </w:tcPr>
          <w:p w14:paraId="08F58E0C" w14:textId="77777777" w:rsidR="00246939" w:rsidRDefault="00246939" w:rsidP="00774E5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B4403">
              <w:rPr>
                <w:sz w:val="18"/>
                <w:szCs w:val="18"/>
              </w:rPr>
              <w:t>Requisitos</w:t>
            </w:r>
            <w:proofErr w:type="spellEnd"/>
            <w:r w:rsidRPr="00EB4403">
              <w:rPr>
                <w:sz w:val="18"/>
                <w:szCs w:val="18"/>
              </w:rPr>
              <w:t xml:space="preserve"> de </w:t>
            </w:r>
            <w:proofErr w:type="spellStart"/>
            <w:r w:rsidRPr="00EB4403">
              <w:rPr>
                <w:sz w:val="18"/>
                <w:szCs w:val="18"/>
              </w:rPr>
              <w:t>temperatura</w:t>
            </w:r>
            <w:proofErr w:type="spellEnd"/>
          </w:p>
        </w:tc>
        <w:tc>
          <w:tcPr>
            <w:tcW w:w="2043" w:type="dxa"/>
          </w:tcPr>
          <w:p w14:paraId="4F57154F" w14:textId="77777777" w:rsidR="00246939" w:rsidRPr="00CE7D33" w:rsidRDefault="00246939" w:rsidP="00774E51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materiales se mantienen a temperaturas adecuadas según las especificaciones.</w:t>
            </w:r>
          </w:p>
        </w:tc>
        <w:tc>
          <w:tcPr>
            <w:tcW w:w="590" w:type="dxa"/>
          </w:tcPr>
          <w:p w14:paraId="5AD96551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110CAA9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5C3BA75C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79058D3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77AC7FC6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FAEC924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7A9CF722" w14:textId="72C1BE45" w:rsidR="00964CF2" w:rsidRPr="00CE7D33" w:rsidRDefault="00964CF2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964CF2" w14:paraId="2DB3C59C" w14:textId="77777777" w:rsidTr="00246939">
        <w:trPr>
          <w:trHeight w:val="665"/>
        </w:trPr>
        <w:tc>
          <w:tcPr>
            <w:tcW w:w="516" w:type="dxa"/>
            <w:vMerge w:val="restart"/>
          </w:tcPr>
          <w:p w14:paraId="6C93F4EC" w14:textId="77777777" w:rsidR="00964CF2" w:rsidRPr="00CE7D33" w:rsidRDefault="00964CF2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0328059D" w14:textId="77777777" w:rsidR="00964CF2" w:rsidRPr="00CE7D33" w:rsidRDefault="00964CF2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316BFF86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173686F5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21E4363A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4B012503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05F5CB0C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417B2E80" w14:textId="77777777" w:rsidR="00964CF2" w:rsidRDefault="00964CF2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964CF2" w14:paraId="4825AB1E" w14:textId="77777777" w:rsidTr="00246939">
        <w:tc>
          <w:tcPr>
            <w:tcW w:w="516" w:type="dxa"/>
            <w:vMerge/>
          </w:tcPr>
          <w:p w14:paraId="64B0B4BB" w14:textId="77777777" w:rsidR="00964CF2" w:rsidRDefault="00964CF2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6A125993" w14:textId="77777777" w:rsidR="00964CF2" w:rsidRDefault="00964CF2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5D034EF7" w14:textId="77777777" w:rsidR="00964CF2" w:rsidRDefault="00964CF2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62F94F84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116C697A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07171DBA" w14:textId="77777777" w:rsidR="00964CF2" w:rsidRDefault="00964CF2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1CDC2916" w14:textId="77777777" w:rsidR="00964CF2" w:rsidRDefault="00964CF2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4520F387" w14:textId="77777777" w:rsidR="00964CF2" w:rsidRDefault="00964CF2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1C2B6746" w14:textId="77777777" w:rsidR="00964CF2" w:rsidRDefault="00964CF2" w:rsidP="006B4D5E">
            <w:pPr>
              <w:rPr>
                <w:rFonts w:eastAsia="Calibri"/>
              </w:rPr>
            </w:pPr>
          </w:p>
        </w:tc>
      </w:tr>
      <w:tr w:rsidR="006655AE" w:rsidRPr="00DF1C53" w14:paraId="1F666EBB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798B79" w14:textId="4D75250F" w:rsidR="006655AE" w:rsidRPr="003F2E27" w:rsidRDefault="006655AE" w:rsidP="006655A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3F2E27">
              <w:rPr>
                <w:rFonts w:eastAsia="Calibri"/>
                <w:b/>
                <w:sz w:val="18"/>
                <w:szCs w:val="18"/>
              </w:rPr>
              <w:t>28</w:t>
            </w:r>
          </w:p>
        </w:tc>
        <w:tc>
          <w:tcPr>
            <w:tcW w:w="1715" w:type="dxa"/>
            <w:shd w:val="clear" w:color="auto" w:fill="auto"/>
          </w:tcPr>
          <w:p w14:paraId="03E8819E" w14:textId="7E40F0D5" w:rsidR="006655AE" w:rsidRPr="00CE7D33" w:rsidRDefault="006655AE" w:rsidP="006655AE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Contenedores de receptáculos de basura</w:t>
            </w:r>
          </w:p>
        </w:tc>
        <w:tc>
          <w:tcPr>
            <w:tcW w:w="2043" w:type="dxa"/>
            <w:shd w:val="clear" w:color="auto" w:fill="auto"/>
          </w:tcPr>
          <w:p w14:paraId="09C14A04" w14:textId="1C641B36" w:rsidR="006655AE" w:rsidRPr="00CE7D33" w:rsidRDefault="006655AE" w:rsidP="006655AE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recipientes de basura deben estar codificados por colores para indicar el uso previsto. Los recipientes deben ser limpiables, cubiertos y en buenas condiciones.</w:t>
            </w:r>
          </w:p>
        </w:tc>
        <w:tc>
          <w:tcPr>
            <w:tcW w:w="590" w:type="dxa"/>
          </w:tcPr>
          <w:p w14:paraId="57413718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BEB8408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153531D4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34C53C80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DAED3F8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07067FEE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6655AE" w14:paraId="6757B53A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37B2C849" w14:textId="183E4BE8" w:rsidR="006655AE" w:rsidRDefault="006655AE" w:rsidP="006655A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29</w:t>
            </w:r>
          </w:p>
        </w:tc>
        <w:tc>
          <w:tcPr>
            <w:tcW w:w="1715" w:type="dxa"/>
          </w:tcPr>
          <w:p w14:paraId="4C37B3F8" w14:textId="47749599" w:rsidR="006655AE" w:rsidRPr="00CE7D33" w:rsidRDefault="006655AE" w:rsidP="006655AE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Mamparas de ventanas y puertas</w:t>
            </w:r>
          </w:p>
        </w:tc>
        <w:tc>
          <w:tcPr>
            <w:tcW w:w="2043" w:type="dxa"/>
          </w:tcPr>
          <w:p w14:paraId="100010EE" w14:textId="5E9BE426" w:rsidR="006655AE" w:rsidRDefault="006655AE" w:rsidP="006655AE">
            <w:pPr>
              <w:pStyle w:val="NoSpacing"/>
              <w:rPr>
                <w:sz w:val="18"/>
                <w:szCs w:val="20"/>
              </w:rPr>
            </w:pPr>
            <w:r w:rsidRPr="00CE7D33">
              <w:rPr>
                <w:sz w:val="18"/>
                <w:szCs w:val="18"/>
                <w:lang w:val="pt-PT"/>
              </w:rPr>
              <w:t xml:space="preserve">Las ventanas y puertas están protegidas o no se pueden abrir. Las puertas de conexión al exterior no deben tener huecos (espacio libre) que permitan que las plagas entren en un edificio. </w:t>
            </w:r>
            <w:proofErr w:type="spellStart"/>
            <w:r w:rsidRPr="00725F9E">
              <w:rPr>
                <w:sz w:val="18"/>
                <w:szCs w:val="18"/>
              </w:rPr>
              <w:t>Cualquier</w:t>
            </w:r>
            <w:proofErr w:type="spellEnd"/>
            <w:r w:rsidRPr="00725F9E">
              <w:rPr>
                <w:sz w:val="18"/>
                <w:szCs w:val="18"/>
              </w:rPr>
              <w:t xml:space="preserve"> </w:t>
            </w:r>
            <w:proofErr w:type="spellStart"/>
            <w:r w:rsidRPr="00725F9E">
              <w:rPr>
                <w:sz w:val="18"/>
                <w:szCs w:val="18"/>
              </w:rPr>
              <w:t>ventana</w:t>
            </w:r>
            <w:proofErr w:type="spellEnd"/>
            <w:r w:rsidRPr="00725F9E">
              <w:rPr>
                <w:sz w:val="18"/>
                <w:szCs w:val="18"/>
              </w:rPr>
              <w:t xml:space="preserve"> de </w:t>
            </w:r>
            <w:proofErr w:type="spellStart"/>
            <w:r w:rsidRPr="00725F9E">
              <w:rPr>
                <w:sz w:val="18"/>
                <w:szCs w:val="18"/>
              </w:rPr>
              <w:t>vidrio</w:t>
            </w:r>
            <w:proofErr w:type="spellEnd"/>
            <w:r w:rsidRPr="00725F9E">
              <w:rPr>
                <w:sz w:val="18"/>
                <w:szCs w:val="18"/>
              </w:rPr>
              <w:t xml:space="preserve"> </w:t>
            </w:r>
            <w:proofErr w:type="spellStart"/>
            <w:r w:rsidRPr="00725F9E">
              <w:rPr>
                <w:sz w:val="18"/>
                <w:szCs w:val="18"/>
              </w:rPr>
              <w:t>estará</w:t>
            </w:r>
            <w:proofErr w:type="spellEnd"/>
            <w:r w:rsidRPr="00725F9E">
              <w:rPr>
                <w:sz w:val="18"/>
                <w:szCs w:val="18"/>
              </w:rPr>
              <w:t xml:space="preserve"> </w:t>
            </w:r>
            <w:proofErr w:type="spellStart"/>
            <w:r w:rsidRPr="00725F9E">
              <w:rPr>
                <w:sz w:val="18"/>
                <w:szCs w:val="18"/>
              </w:rPr>
              <w:t>protegida</w:t>
            </w:r>
            <w:proofErr w:type="spellEnd"/>
            <w:r w:rsidRPr="00725F9E">
              <w:rPr>
                <w:sz w:val="18"/>
                <w:szCs w:val="18"/>
              </w:rPr>
              <w:t xml:space="preserve"> contra </w:t>
            </w:r>
            <w:proofErr w:type="spellStart"/>
            <w:r w:rsidRPr="00725F9E">
              <w:rPr>
                <w:sz w:val="18"/>
                <w:szCs w:val="18"/>
              </w:rPr>
              <w:t>roturas</w:t>
            </w:r>
            <w:proofErr w:type="spellEnd"/>
            <w:r w:rsidRPr="00725F9E">
              <w:rPr>
                <w:sz w:val="18"/>
                <w:szCs w:val="18"/>
              </w:rPr>
              <w:t>.</w:t>
            </w:r>
          </w:p>
        </w:tc>
        <w:tc>
          <w:tcPr>
            <w:tcW w:w="590" w:type="dxa"/>
          </w:tcPr>
          <w:p w14:paraId="6D963A26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  <w:tc>
          <w:tcPr>
            <w:tcW w:w="622" w:type="dxa"/>
          </w:tcPr>
          <w:p w14:paraId="3741ACC8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  <w:tc>
          <w:tcPr>
            <w:tcW w:w="644" w:type="dxa"/>
          </w:tcPr>
          <w:p w14:paraId="6D8E3A90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  <w:tc>
          <w:tcPr>
            <w:tcW w:w="1359" w:type="dxa"/>
          </w:tcPr>
          <w:p w14:paraId="04699237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  <w:tc>
          <w:tcPr>
            <w:tcW w:w="1833" w:type="dxa"/>
          </w:tcPr>
          <w:p w14:paraId="611AEAAC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  <w:tc>
          <w:tcPr>
            <w:tcW w:w="1694" w:type="dxa"/>
          </w:tcPr>
          <w:p w14:paraId="60A9A625" w14:textId="77777777" w:rsidR="006655AE" w:rsidRDefault="006655AE" w:rsidP="006655AE">
            <w:pPr>
              <w:pStyle w:val="NoSpacing"/>
              <w:rPr>
                <w:rFonts w:eastAsia="Calibri"/>
              </w:rPr>
            </w:pPr>
          </w:p>
        </w:tc>
      </w:tr>
      <w:tr w:rsidR="006655AE" w:rsidRPr="00DF1C53" w14:paraId="680C85CE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2AD05F78" w14:textId="0564FF1B" w:rsidR="006655AE" w:rsidRDefault="006655AE" w:rsidP="006655A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30</w:t>
            </w:r>
          </w:p>
        </w:tc>
        <w:tc>
          <w:tcPr>
            <w:tcW w:w="1715" w:type="dxa"/>
          </w:tcPr>
          <w:p w14:paraId="16EB3991" w14:textId="1D8C7048" w:rsidR="006655AE" w:rsidRDefault="006655AE" w:rsidP="006655AE">
            <w:pPr>
              <w:pStyle w:val="NoSpacing"/>
              <w:rPr>
                <w:sz w:val="18"/>
                <w:szCs w:val="18"/>
              </w:rPr>
            </w:pPr>
            <w:r w:rsidRPr="00F7042F">
              <w:rPr>
                <w:sz w:val="18"/>
                <w:szCs w:val="18"/>
              </w:rPr>
              <w:t xml:space="preserve">Actividad de </w:t>
            </w:r>
            <w:proofErr w:type="spellStart"/>
            <w:r w:rsidRPr="00F7042F">
              <w:rPr>
                <w:sz w:val="18"/>
                <w:szCs w:val="18"/>
              </w:rPr>
              <w:t>plagas</w:t>
            </w:r>
            <w:proofErr w:type="spellEnd"/>
          </w:p>
        </w:tc>
        <w:tc>
          <w:tcPr>
            <w:tcW w:w="2043" w:type="dxa"/>
          </w:tcPr>
          <w:p w14:paraId="590C2147" w14:textId="2FBC31E7" w:rsidR="006655AE" w:rsidRPr="00CE7D33" w:rsidRDefault="006655AE" w:rsidP="006655AE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No se permite la actividad de plagas o evidencia de actividad de plagas dentro de la instalación.</w:t>
            </w:r>
          </w:p>
        </w:tc>
        <w:tc>
          <w:tcPr>
            <w:tcW w:w="590" w:type="dxa"/>
          </w:tcPr>
          <w:p w14:paraId="41658413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E889A3A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9918E4C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300CAA64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70F17B51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7B14CD15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6655AE" w:rsidRPr="00DF1C53" w14:paraId="14EA4BA0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3760E52" w14:textId="79614456" w:rsidR="006655AE" w:rsidRDefault="006655AE" w:rsidP="006655AE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31</w:t>
            </w:r>
          </w:p>
        </w:tc>
        <w:tc>
          <w:tcPr>
            <w:tcW w:w="1715" w:type="dxa"/>
          </w:tcPr>
          <w:p w14:paraId="23103B81" w14:textId="61D34A26" w:rsidR="006655AE" w:rsidRPr="00CE7D33" w:rsidRDefault="006655AE" w:rsidP="006655AE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Estaciones de atrapar roedores externas solamente.</w:t>
            </w:r>
          </w:p>
        </w:tc>
        <w:tc>
          <w:tcPr>
            <w:tcW w:w="2043" w:type="dxa"/>
          </w:tcPr>
          <w:p w14:paraId="40C783ED" w14:textId="01D08ED7" w:rsidR="006655AE" w:rsidRPr="00CE7D33" w:rsidRDefault="006655AE" w:rsidP="006655AE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trampas exteriors solo deben usarse fuera de la instalación.  Las estaciones de cebo deben estar ancladas, numeradas y resistentes a la manipulación.</w:t>
            </w:r>
          </w:p>
        </w:tc>
        <w:tc>
          <w:tcPr>
            <w:tcW w:w="590" w:type="dxa"/>
          </w:tcPr>
          <w:p w14:paraId="411D008D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0AAF8D1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A182A5E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C1E13B7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8E73CD5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A1579B1" w14:textId="77777777" w:rsidR="006655AE" w:rsidRPr="00CE7D33" w:rsidRDefault="006655AE" w:rsidP="006655AE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30BD9" w:rsidRPr="00DF1C53" w14:paraId="3ADDFE8F" w14:textId="77777777" w:rsidTr="00246939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4082C" w14:textId="788CC42A" w:rsidR="00530BD9" w:rsidRDefault="00530BD9" w:rsidP="00530B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32</w:t>
            </w:r>
          </w:p>
        </w:tc>
        <w:tc>
          <w:tcPr>
            <w:tcW w:w="1715" w:type="dxa"/>
          </w:tcPr>
          <w:p w14:paraId="479A7206" w14:textId="49FA2B1B" w:rsidR="00530BD9" w:rsidRDefault="00530BD9" w:rsidP="00530BD9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9475CD">
              <w:rPr>
                <w:sz w:val="18"/>
                <w:szCs w:val="18"/>
              </w:rPr>
              <w:t>Equipos</w:t>
            </w:r>
            <w:proofErr w:type="spellEnd"/>
            <w:r w:rsidRPr="009475CD">
              <w:rPr>
                <w:sz w:val="18"/>
                <w:szCs w:val="18"/>
              </w:rPr>
              <w:t xml:space="preserve"> no </w:t>
            </w:r>
            <w:proofErr w:type="spellStart"/>
            <w:r w:rsidRPr="009475CD">
              <w:rPr>
                <w:sz w:val="18"/>
                <w:szCs w:val="18"/>
              </w:rPr>
              <w:t>utilizados</w:t>
            </w:r>
            <w:proofErr w:type="spellEnd"/>
          </w:p>
        </w:tc>
        <w:tc>
          <w:tcPr>
            <w:tcW w:w="2043" w:type="dxa"/>
          </w:tcPr>
          <w:p w14:paraId="0B153BB5" w14:textId="1D548360" w:rsidR="00530BD9" w:rsidRPr="00CE7D33" w:rsidRDefault="00530BD9" w:rsidP="00530BD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El equipo no utilizado en las áreas de procesamiento o almacenamiento se mantiene limpio.</w:t>
            </w:r>
          </w:p>
        </w:tc>
        <w:tc>
          <w:tcPr>
            <w:tcW w:w="590" w:type="dxa"/>
          </w:tcPr>
          <w:p w14:paraId="48A034F8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51CD9FF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7EE3E58C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07EA2ADE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D7B35A1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3AC5370F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530BD9" w:rsidRPr="00DF1C53" w14:paraId="6A318E22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B920E" w14:textId="1B37FDBE" w:rsidR="00530BD9" w:rsidRDefault="00530BD9" w:rsidP="00530B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33</w:t>
            </w:r>
          </w:p>
        </w:tc>
        <w:tc>
          <w:tcPr>
            <w:tcW w:w="1715" w:type="dxa"/>
          </w:tcPr>
          <w:p w14:paraId="2C9F28AF" w14:textId="4E40C82D" w:rsidR="00530BD9" w:rsidRDefault="00530BD9" w:rsidP="00530BD9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425ADE">
              <w:rPr>
                <w:sz w:val="18"/>
                <w:szCs w:val="18"/>
              </w:rPr>
              <w:t>Lubricación</w:t>
            </w:r>
            <w:proofErr w:type="spellEnd"/>
          </w:p>
        </w:tc>
        <w:tc>
          <w:tcPr>
            <w:tcW w:w="2043" w:type="dxa"/>
          </w:tcPr>
          <w:p w14:paraId="7295B4AF" w14:textId="264C3912" w:rsidR="00530BD9" w:rsidRPr="00CE7D33" w:rsidRDefault="00530BD9" w:rsidP="00530BD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Exceso de grasa o aceite que gotea sobre el producto o la superficie en contacto con alimentos de rodamientos engrasados o cajas de engranajes con fugas.</w:t>
            </w:r>
          </w:p>
        </w:tc>
        <w:tc>
          <w:tcPr>
            <w:tcW w:w="590" w:type="dxa"/>
          </w:tcPr>
          <w:p w14:paraId="7441869F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0D67514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E5648BA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1F30AD7D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297C4471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F5A6717" w14:textId="77777777" w:rsidR="00530BD9" w:rsidRPr="00CE7D33" w:rsidRDefault="00530BD9" w:rsidP="00530B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46939" w:rsidRPr="00DF1C53" w14:paraId="0C9F586C" w14:textId="77777777" w:rsidTr="00246939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3669175" w14:textId="77777777" w:rsidR="00246939" w:rsidRDefault="00246939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34</w:t>
            </w:r>
          </w:p>
        </w:tc>
        <w:tc>
          <w:tcPr>
            <w:tcW w:w="1715" w:type="dxa"/>
          </w:tcPr>
          <w:p w14:paraId="40E73076" w14:textId="77777777" w:rsidR="00246939" w:rsidRDefault="00246939" w:rsidP="00774E5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3A232A">
              <w:rPr>
                <w:sz w:val="18"/>
                <w:szCs w:val="18"/>
              </w:rPr>
              <w:t>Prácticas</w:t>
            </w:r>
            <w:proofErr w:type="spellEnd"/>
            <w:r w:rsidRPr="003A232A">
              <w:rPr>
                <w:sz w:val="18"/>
                <w:szCs w:val="18"/>
              </w:rPr>
              <w:t xml:space="preserve"> de </w:t>
            </w:r>
            <w:proofErr w:type="spellStart"/>
            <w:r w:rsidRPr="003A232A">
              <w:rPr>
                <w:sz w:val="18"/>
                <w:szCs w:val="18"/>
              </w:rPr>
              <w:t>mantenimiento</w:t>
            </w:r>
            <w:proofErr w:type="spellEnd"/>
          </w:p>
        </w:tc>
        <w:tc>
          <w:tcPr>
            <w:tcW w:w="2043" w:type="dxa"/>
          </w:tcPr>
          <w:p w14:paraId="003AFB8F" w14:textId="77777777" w:rsidR="00246939" w:rsidRPr="00CE7D33" w:rsidRDefault="00246939" w:rsidP="00774E51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herramientas utilizadas en los equipos de manipulación de alimentos son limpias y sanitarias. Los mecánicos mantienen un estricto control sobre las piezas sueltas y limpian el área de trabajo cuando terminan.</w:t>
            </w:r>
          </w:p>
        </w:tc>
        <w:tc>
          <w:tcPr>
            <w:tcW w:w="590" w:type="dxa"/>
          </w:tcPr>
          <w:p w14:paraId="71D14482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043E2BD6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024754D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1B4EC87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44E2E3EA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F4E5F00" w14:textId="77777777" w:rsidR="00246939" w:rsidRPr="00CE7D33" w:rsidRDefault="00246939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598ED803" w14:textId="5801D3D7" w:rsidR="00530BD9" w:rsidRPr="00CE7D33" w:rsidRDefault="00530BD9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530BD9" w14:paraId="2C1B60A1" w14:textId="77777777" w:rsidTr="006B4D5E">
        <w:trPr>
          <w:trHeight w:val="665"/>
        </w:trPr>
        <w:tc>
          <w:tcPr>
            <w:tcW w:w="516" w:type="dxa"/>
            <w:vMerge w:val="restart"/>
          </w:tcPr>
          <w:p w14:paraId="0D5CAA49" w14:textId="77777777" w:rsidR="00530BD9" w:rsidRPr="00CE7D33" w:rsidRDefault="00530BD9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36FD5909" w14:textId="77777777" w:rsidR="00530BD9" w:rsidRPr="00CE7D33" w:rsidRDefault="00530BD9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304D6FAF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25C25602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2B6A3E81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25ECA20C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02116F45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71E6536D" w14:textId="77777777" w:rsidR="00530BD9" w:rsidRDefault="00530BD9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530BD9" w14:paraId="18584DB8" w14:textId="77777777" w:rsidTr="006B4D5E">
        <w:tc>
          <w:tcPr>
            <w:tcW w:w="516" w:type="dxa"/>
            <w:vMerge/>
          </w:tcPr>
          <w:p w14:paraId="3156DDC6" w14:textId="77777777" w:rsidR="00530BD9" w:rsidRDefault="00530BD9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6C86D43C" w14:textId="77777777" w:rsidR="00530BD9" w:rsidRDefault="00530BD9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0B8903CD" w14:textId="77777777" w:rsidR="00530BD9" w:rsidRDefault="00530BD9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226388A5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5F7DEC1E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7CD8345B" w14:textId="77777777" w:rsidR="00530BD9" w:rsidRDefault="00530BD9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0D5D71C3" w14:textId="77777777" w:rsidR="00530BD9" w:rsidRDefault="00530BD9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54E1EC21" w14:textId="77777777" w:rsidR="00530BD9" w:rsidRDefault="00530BD9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7A2C80DB" w14:textId="77777777" w:rsidR="00530BD9" w:rsidRDefault="00530BD9" w:rsidP="006B4D5E">
            <w:pPr>
              <w:rPr>
                <w:rFonts w:eastAsia="Calibri"/>
              </w:rPr>
            </w:pPr>
          </w:p>
        </w:tc>
      </w:tr>
      <w:tr w:rsidR="00191D09" w:rsidRPr="00DF1C53" w14:paraId="17038E85" w14:textId="77777777" w:rsidTr="006B4D5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2C92AF5B" w14:textId="7AAC3B33" w:rsidR="00191D09" w:rsidRDefault="00191D09" w:rsidP="00191D0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35</w:t>
            </w:r>
          </w:p>
        </w:tc>
        <w:tc>
          <w:tcPr>
            <w:tcW w:w="1715" w:type="dxa"/>
          </w:tcPr>
          <w:p w14:paraId="125DEE55" w14:textId="34DA3DEA" w:rsidR="00191D09" w:rsidRPr="00CE7D33" w:rsidRDefault="00191D09" w:rsidP="00191D09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Control del sitio de construcción</w:t>
            </w:r>
          </w:p>
        </w:tc>
        <w:tc>
          <w:tcPr>
            <w:tcW w:w="2043" w:type="dxa"/>
          </w:tcPr>
          <w:p w14:paraId="388CF62A" w14:textId="33861951" w:rsidR="00191D09" w:rsidRPr="00CE7D33" w:rsidRDefault="00191D09" w:rsidP="00191D0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sitios de construcción están adecuadamente segregados para evitar que los escombros ingresen a las áreas de procesamiento o almacenamiento.</w:t>
            </w:r>
          </w:p>
        </w:tc>
        <w:tc>
          <w:tcPr>
            <w:tcW w:w="590" w:type="dxa"/>
          </w:tcPr>
          <w:p w14:paraId="12CC8772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B74E041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5DCBEE29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37C7ED9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A1B3083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5020D7CC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191D09" w:rsidRPr="00DF1C53" w14:paraId="4C52C81B" w14:textId="77777777" w:rsidTr="006B4D5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E7F3CE2" w14:textId="59222142" w:rsidR="00191D09" w:rsidRDefault="00191D09" w:rsidP="00191D0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36</w:t>
            </w:r>
          </w:p>
        </w:tc>
        <w:tc>
          <w:tcPr>
            <w:tcW w:w="1715" w:type="dxa"/>
          </w:tcPr>
          <w:p w14:paraId="724FAF9F" w14:textId="3A861410" w:rsidR="00191D09" w:rsidRPr="00CE7D33" w:rsidRDefault="00191D09" w:rsidP="00191D09">
            <w:pPr>
              <w:pStyle w:val="NoSpacing"/>
              <w:rPr>
                <w:sz w:val="16"/>
                <w:szCs w:val="16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Hojas de datos de seguridad para productos químicos</w:t>
            </w:r>
          </w:p>
        </w:tc>
        <w:tc>
          <w:tcPr>
            <w:tcW w:w="2043" w:type="dxa"/>
          </w:tcPr>
          <w:p w14:paraId="76115AF9" w14:textId="44BC8945" w:rsidR="00191D09" w:rsidRPr="00CE7D33" w:rsidRDefault="00191D09" w:rsidP="00191D0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hojas de datos de seguridad están disponibles, actualizadas para todos los compuestos de limpieza, desinfección ingredientes, y mantenimiento.</w:t>
            </w:r>
          </w:p>
        </w:tc>
        <w:tc>
          <w:tcPr>
            <w:tcW w:w="590" w:type="dxa"/>
          </w:tcPr>
          <w:p w14:paraId="12DBF82C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BCC7140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D215FBF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462DE67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6FFB0236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0B90C7EF" w14:textId="77777777" w:rsidR="00191D09" w:rsidRPr="00CE7D33" w:rsidRDefault="00191D09" w:rsidP="00191D0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C01E35" w:rsidRPr="00DF1C53" w14:paraId="32D71633" w14:textId="77777777" w:rsidTr="006B4D5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1ED39B10" w14:textId="514C87F5" w:rsidR="00C01E35" w:rsidRDefault="00C01E35" w:rsidP="00C01E35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37</w:t>
            </w:r>
          </w:p>
        </w:tc>
        <w:tc>
          <w:tcPr>
            <w:tcW w:w="1715" w:type="dxa"/>
          </w:tcPr>
          <w:p w14:paraId="36F073D4" w14:textId="485913B0" w:rsidR="00C01E35" w:rsidRDefault="00C01E35" w:rsidP="00C01E3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F3A43">
              <w:rPr>
                <w:sz w:val="18"/>
                <w:szCs w:val="18"/>
              </w:rPr>
              <w:t>Almacenamiento</w:t>
            </w:r>
            <w:proofErr w:type="spellEnd"/>
            <w:r w:rsidRPr="00EF3A43">
              <w:rPr>
                <w:sz w:val="18"/>
                <w:szCs w:val="18"/>
              </w:rPr>
              <w:t xml:space="preserve"> de </w:t>
            </w:r>
            <w:proofErr w:type="spellStart"/>
            <w:r w:rsidRPr="00EF3A43">
              <w:rPr>
                <w:sz w:val="18"/>
                <w:szCs w:val="18"/>
              </w:rPr>
              <w:t>productos</w:t>
            </w:r>
            <w:proofErr w:type="spellEnd"/>
            <w:r w:rsidRPr="00EF3A43">
              <w:rPr>
                <w:sz w:val="18"/>
                <w:szCs w:val="18"/>
              </w:rPr>
              <w:t xml:space="preserve"> </w:t>
            </w:r>
            <w:proofErr w:type="spellStart"/>
            <w:r w:rsidRPr="00EF3A43">
              <w:rPr>
                <w:sz w:val="18"/>
                <w:szCs w:val="18"/>
              </w:rPr>
              <w:t>químicos</w:t>
            </w:r>
            <w:proofErr w:type="spellEnd"/>
          </w:p>
        </w:tc>
        <w:tc>
          <w:tcPr>
            <w:tcW w:w="2043" w:type="dxa"/>
          </w:tcPr>
          <w:p w14:paraId="41985CA4" w14:textId="1C552B58" w:rsidR="00C01E35" w:rsidRPr="00CE7D33" w:rsidRDefault="00C01E35" w:rsidP="00C01E35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compuestos de limpieza, desinfección y lubricación se almacenan en un área separada, con cerradura y bien ventilada que está aislada de alimentos y materiales de embalaje.  Los materiales de grado alimenticio son materiales segregados de materiales de grado no alimentario.</w:t>
            </w:r>
          </w:p>
        </w:tc>
        <w:tc>
          <w:tcPr>
            <w:tcW w:w="590" w:type="dxa"/>
          </w:tcPr>
          <w:p w14:paraId="0D26C424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33F5446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F90C7F0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0053191C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EF6EF43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324597A3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C01E35" w:rsidRPr="00DF1C53" w14:paraId="1F47CA16" w14:textId="77777777" w:rsidTr="006B4D5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007B613F" w14:textId="68887A06" w:rsidR="00C01E35" w:rsidRDefault="00C01E35" w:rsidP="00C01E35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38</w:t>
            </w:r>
          </w:p>
        </w:tc>
        <w:tc>
          <w:tcPr>
            <w:tcW w:w="1715" w:type="dxa"/>
          </w:tcPr>
          <w:p w14:paraId="184E62A4" w14:textId="0A6C91BC" w:rsidR="00C01E35" w:rsidRDefault="00C01E35" w:rsidP="00C01E3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13F21">
              <w:rPr>
                <w:sz w:val="18"/>
                <w:szCs w:val="18"/>
              </w:rPr>
              <w:t>Equipo</w:t>
            </w:r>
            <w:proofErr w:type="spellEnd"/>
            <w:r w:rsidRPr="00A13F21">
              <w:rPr>
                <w:sz w:val="18"/>
                <w:szCs w:val="18"/>
              </w:rPr>
              <w:t xml:space="preserve"> de </w:t>
            </w:r>
            <w:proofErr w:type="spellStart"/>
            <w:r w:rsidRPr="00A13F21">
              <w:rPr>
                <w:sz w:val="18"/>
                <w:szCs w:val="18"/>
              </w:rPr>
              <w:t>protección</w:t>
            </w:r>
            <w:proofErr w:type="spellEnd"/>
          </w:p>
        </w:tc>
        <w:tc>
          <w:tcPr>
            <w:tcW w:w="2043" w:type="dxa"/>
          </w:tcPr>
          <w:p w14:paraId="122ADC43" w14:textId="021F86B5" w:rsidR="00C01E35" w:rsidRPr="00CE7D33" w:rsidRDefault="00C01E35" w:rsidP="00C01E35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El equipo de protección personal adecuado (gafas, guantes, botas, delantales, protección contra caídas, etc.) está disponible y se usa adecuadamente.</w:t>
            </w:r>
          </w:p>
        </w:tc>
        <w:tc>
          <w:tcPr>
            <w:tcW w:w="590" w:type="dxa"/>
          </w:tcPr>
          <w:p w14:paraId="1150BB8A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1375A03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385021E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0AEEC99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1B79029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A2241EC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C01E35" w:rsidRPr="00DF1C53" w14:paraId="3C145745" w14:textId="77777777" w:rsidTr="006B4D5E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206F2F" w14:textId="55AEFEA6" w:rsidR="00C01E35" w:rsidRDefault="00C01E35" w:rsidP="00C01E35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39</w:t>
            </w:r>
          </w:p>
        </w:tc>
        <w:tc>
          <w:tcPr>
            <w:tcW w:w="1715" w:type="dxa"/>
          </w:tcPr>
          <w:p w14:paraId="1756129A" w14:textId="0E7F8415" w:rsidR="00C01E35" w:rsidRDefault="00C01E35" w:rsidP="00C01E3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Bandas</w:t>
            </w:r>
            <w:r w:rsidRPr="00315005">
              <w:rPr>
                <w:sz w:val="18"/>
                <w:szCs w:val="18"/>
              </w:rPr>
              <w:t xml:space="preserve"> </w:t>
            </w:r>
            <w:proofErr w:type="spellStart"/>
            <w:r w:rsidRPr="00315005">
              <w:rPr>
                <w:sz w:val="18"/>
                <w:szCs w:val="18"/>
              </w:rPr>
              <w:t>transportadoras</w:t>
            </w:r>
            <w:proofErr w:type="spellEnd"/>
          </w:p>
        </w:tc>
        <w:tc>
          <w:tcPr>
            <w:tcW w:w="2043" w:type="dxa"/>
          </w:tcPr>
          <w:p w14:paraId="5C145E15" w14:textId="4CFAC131" w:rsidR="00C01E35" w:rsidRPr="00CE7D33" w:rsidRDefault="00C01E35" w:rsidP="00C01E35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.</w:t>
            </w:r>
            <w:r w:rsidRPr="00CE7D33">
              <w:rPr>
                <w:lang w:val="pt-PT"/>
              </w:rPr>
              <w:t xml:space="preserve"> </w:t>
            </w:r>
            <w:r w:rsidRPr="00CE7D33">
              <w:rPr>
                <w:sz w:val="18"/>
                <w:szCs w:val="18"/>
                <w:lang w:val="pt-PT"/>
              </w:rPr>
              <w:t>Los transportadores de contacto con productos o alimentos deben estar limpios, lisos y en buenas condiciones, sin bordes deshilachados ni piezas faltantes.</w:t>
            </w:r>
          </w:p>
        </w:tc>
        <w:tc>
          <w:tcPr>
            <w:tcW w:w="590" w:type="dxa"/>
          </w:tcPr>
          <w:p w14:paraId="146A380E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9F51E31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5B9424FA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D5B693A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6E0D12E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49C595E5" w14:textId="77777777" w:rsidR="00C01E35" w:rsidRPr="00CE7D33" w:rsidRDefault="00C01E35" w:rsidP="00C01E35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46939" w:rsidRPr="00DF1C53" w14:paraId="5EF10EF2" w14:textId="77777777" w:rsidTr="0029130A">
        <w:trPr>
          <w:trHeight w:val="188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364CD2D" w14:textId="1E180188" w:rsidR="00246939" w:rsidRPr="00CE7D33" w:rsidRDefault="00246939" w:rsidP="00246939">
            <w:pPr>
              <w:pStyle w:val="NoSpacing"/>
              <w:rPr>
                <w:rFonts w:eastAsia="Calibri"/>
                <w:b/>
                <w:sz w:val="18"/>
                <w:szCs w:val="18"/>
                <w:lang w:val="pt-PT"/>
              </w:rPr>
            </w:pPr>
            <w:r>
              <w:rPr>
                <w:rFonts w:eastAsia="Calibri"/>
                <w:b/>
                <w:sz w:val="18"/>
                <w:szCs w:val="18"/>
              </w:rPr>
              <w:t>40</w:t>
            </w:r>
          </w:p>
        </w:tc>
        <w:tc>
          <w:tcPr>
            <w:tcW w:w="1715" w:type="dxa"/>
          </w:tcPr>
          <w:p w14:paraId="7D2032C0" w14:textId="19FF7050" w:rsidR="00246939" w:rsidRPr="00CE7D33" w:rsidRDefault="00246939" w:rsidP="00246939">
            <w:pPr>
              <w:pStyle w:val="NoSpacing"/>
              <w:rPr>
                <w:sz w:val="18"/>
                <w:szCs w:val="18"/>
                <w:lang w:val="pt-PT"/>
              </w:rPr>
            </w:pPr>
            <w:proofErr w:type="spellStart"/>
            <w:r w:rsidRPr="004258AE">
              <w:rPr>
                <w:sz w:val="18"/>
                <w:szCs w:val="18"/>
              </w:rPr>
              <w:t>Servicio</w:t>
            </w:r>
            <w:proofErr w:type="spellEnd"/>
            <w:r w:rsidRPr="004258AE">
              <w:rPr>
                <w:sz w:val="18"/>
                <w:szCs w:val="18"/>
              </w:rPr>
              <w:t xml:space="preserve"> de </w:t>
            </w:r>
            <w:proofErr w:type="spellStart"/>
            <w:r w:rsidRPr="004258AE">
              <w:rPr>
                <w:sz w:val="18"/>
                <w:szCs w:val="18"/>
              </w:rPr>
              <w:t>limpieza</w:t>
            </w:r>
            <w:proofErr w:type="spellEnd"/>
            <w:r w:rsidRPr="004258AE">
              <w:rPr>
                <w:sz w:val="18"/>
                <w:szCs w:val="18"/>
              </w:rPr>
              <w:t xml:space="preserve"> general</w:t>
            </w:r>
          </w:p>
        </w:tc>
        <w:tc>
          <w:tcPr>
            <w:tcW w:w="2043" w:type="dxa"/>
          </w:tcPr>
          <w:p w14:paraId="77845F7C" w14:textId="77777777" w:rsidR="00246939" w:rsidRPr="00CE7D33" w:rsidRDefault="00246939" w:rsidP="00246939">
            <w:pPr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 xml:space="preserve">Como resultado de una limpieza deficiente o desorden, existe el riesgo de contaminación del producto. </w:t>
            </w:r>
          </w:p>
          <w:p w14:paraId="2C50219E" w14:textId="77777777" w:rsidR="00246939" w:rsidRPr="00CE7D33" w:rsidRDefault="00246939" w:rsidP="00246939">
            <w:pPr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Las carpas para proteger de goteras deberan tener un contenedor para recibir el agua y tendran una etiqueta con fecha de instalacion.</w:t>
            </w:r>
          </w:p>
          <w:p w14:paraId="5747F63F" w14:textId="0657A63B" w:rsidR="00246939" w:rsidRPr="00CE7D33" w:rsidRDefault="00246939" w:rsidP="00246939">
            <w:pPr>
              <w:pStyle w:val="NoSpacing"/>
              <w:rPr>
                <w:sz w:val="18"/>
                <w:szCs w:val="20"/>
                <w:lang w:val="pt-PT"/>
              </w:rPr>
            </w:pPr>
          </w:p>
        </w:tc>
        <w:tc>
          <w:tcPr>
            <w:tcW w:w="590" w:type="dxa"/>
          </w:tcPr>
          <w:p w14:paraId="7EBEAA85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73A0B623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77784670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C331BEA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2FC2C922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5EAAF11F" w14:textId="77777777" w:rsidR="00246939" w:rsidRPr="00CE7D33" w:rsidRDefault="00246939" w:rsidP="00246939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591CC63C" w14:textId="77777777" w:rsidR="00246939" w:rsidRPr="00CE7D33" w:rsidRDefault="00246939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5D6901" w14:paraId="4FB3B6A1" w14:textId="77777777" w:rsidTr="008D744E">
        <w:trPr>
          <w:trHeight w:val="665"/>
        </w:trPr>
        <w:tc>
          <w:tcPr>
            <w:tcW w:w="516" w:type="dxa"/>
            <w:vMerge w:val="restart"/>
          </w:tcPr>
          <w:p w14:paraId="50DE5249" w14:textId="77777777" w:rsidR="005D6901" w:rsidRDefault="005D6901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10DCC125" w14:textId="77777777" w:rsidR="00246939" w:rsidRPr="00CE7D33" w:rsidRDefault="00246939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7C079A6D" w14:textId="77777777" w:rsidR="005D6901" w:rsidRPr="00CE7D33" w:rsidRDefault="005D6901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4ABC349E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313B7654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513741B1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4FE00096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5F8359CD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4D18E91C" w14:textId="77777777" w:rsidR="005D6901" w:rsidRDefault="005D6901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5D6901" w14:paraId="2BD20DCE" w14:textId="77777777" w:rsidTr="008D744E">
        <w:tc>
          <w:tcPr>
            <w:tcW w:w="516" w:type="dxa"/>
            <w:vMerge/>
          </w:tcPr>
          <w:p w14:paraId="3C722810" w14:textId="77777777" w:rsidR="005D6901" w:rsidRDefault="005D6901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0277C508" w14:textId="77777777" w:rsidR="005D6901" w:rsidRDefault="005D6901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47CE87DE" w14:textId="77777777" w:rsidR="005D6901" w:rsidRDefault="005D6901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593F1FD3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65B4B9C4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6147856B" w14:textId="77777777" w:rsidR="005D6901" w:rsidRDefault="005D6901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0FD64552" w14:textId="77777777" w:rsidR="005D6901" w:rsidRDefault="005D6901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2A2E2066" w14:textId="77777777" w:rsidR="005D6901" w:rsidRDefault="005D6901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469DB914" w14:textId="77777777" w:rsidR="005D6901" w:rsidRDefault="005D6901" w:rsidP="006B4D5E">
            <w:pPr>
              <w:rPr>
                <w:rFonts w:eastAsia="Calibri"/>
              </w:rPr>
            </w:pPr>
          </w:p>
        </w:tc>
      </w:tr>
      <w:tr w:rsidR="002752D9" w:rsidRPr="00DF1C53" w14:paraId="500DF935" w14:textId="77777777" w:rsidTr="008D744E">
        <w:trPr>
          <w:trHeight w:val="105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7FC9F18" w14:textId="591BAE60" w:rsidR="002752D9" w:rsidRDefault="002752D9" w:rsidP="002752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41</w:t>
            </w:r>
          </w:p>
        </w:tc>
        <w:tc>
          <w:tcPr>
            <w:tcW w:w="1715" w:type="dxa"/>
          </w:tcPr>
          <w:p w14:paraId="41703C60" w14:textId="6709C264" w:rsidR="002752D9" w:rsidRDefault="002752D9" w:rsidP="002752D9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B818A8">
              <w:rPr>
                <w:sz w:val="18"/>
                <w:szCs w:val="18"/>
              </w:rPr>
              <w:t>Visitantes</w:t>
            </w:r>
            <w:proofErr w:type="spellEnd"/>
            <w:r w:rsidRPr="00B818A8">
              <w:rPr>
                <w:sz w:val="18"/>
                <w:szCs w:val="18"/>
              </w:rPr>
              <w:t xml:space="preserve"> y </w:t>
            </w:r>
            <w:proofErr w:type="spellStart"/>
            <w:r w:rsidRPr="00B818A8">
              <w:rPr>
                <w:sz w:val="18"/>
                <w:szCs w:val="18"/>
              </w:rPr>
              <w:t>Contratistas</w:t>
            </w:r>
            <w:proofErr w:type="spellEnd"/>
          </w:p>
        </w:tc>
        <w:tc>
          <w:tcPr>
            <w:tcW w:w="2043" w:type="dxa"/>
          </w:tcPr>
          <w:p w14:paraId="7C736AFD" w14:textId="77777777" w:rsidR="002752D9" w:rsidRPr="00CE7D33" w:rsidRDefault="002752D9" w:rsidP="002752D9">
            <w:pPr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visitantes o contratistas en áreas de procesamiento de alimentos se adhieren a las GMP.</w:t>
            </w:r>
          </w:p>
          <w:p w14:paraId="09C914DB" w14:textId="34D6297E" w:rsidR="002752D9" w:rsidRPr="00CE7D33" w:rsidRDefault="002752D9" w:rsidP="002752D9">
            <w:pPr>
              <w:pStyle w:val="NoSpacing"/>
              <w:rPr>
                <w:sz w:val="18"/>
                <w:szCs w:val="20"/>
                <w:lang w:val="pt-PT"/>
              </w:rPr>
            </w:pPr>
          </w:p>
        </w:tc>
        <w:tc>
          <w:tcPr>
            <w:tcW w:w="590" w:type="dxa"/>
          </w:tcPr>
          <w:p w14:paraId="0231D135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C3381D8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F09200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4C1E6DE1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466A3990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742F2792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752D9" w:rsidRPr="00DF1C53" w14:paraId="58D36756" w14:textId="77777777" w:rsidTr="008D744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31E591E" w14:textId="73C7E758" w:rsidR="002752D9" w:rsidRDefault="002752D9" w:rsidP="002752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42</w:t>
            </w:r>
          </w:p>
        </w:tc>
        <w:tc>
          <w:tcPr>
            <w:tcW w:w="1715" w:type="dxa"/>
          </w:tcPr>
          <w:p w14:paraId="7E4DBF31" w14:textId="72DC64FE" w:rsidR="002752D9" w:rsidRDefault="002752D9" w:rsidP="002752D9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995D28">
              <w:rPr>
                <w:sz w:val="18"/>
                <w:szCs w:val="18"/>
              </w:rPr>
              <w:t>Artículos</w:t>
            </w:r>
            <w:proofErr w:type="spellEnd"/>
            <w:r w:rsidRPr="00995D28">
              <w:rPr>
                <w:sz w:val="18"/>
                <w:szCs w:val="18"/>
              </w:rPr>
              <w:t xml:space="preserve"> </w:t>
            </w:r>
            <w:proofErr w:type="spellStart"/>
            <w:r w:rsidRPr="00995D28">
              <w:rPr>
                <w:sz w:val="18"/>
                <w:szCs w:val="18"/>
              </w:rPr>
              <w:t>sueltos</w:t>
            </w:r>
            <w:proofErr w:type="spellEnd"/>
          </w:p>
        </w:tc>
        <w:tc>
          <w:tcPr>
            <w:tcW w:w="2043" w:type="dxa"/>
          </w:tcPr>
          <w:p w14:paraId="07ACBF34" w14:textId="0C1B527F" w:rsidR="002752D9" w:rsidRPr="00CE7D33" w:rsidRDefault="002752D9" w:rsidP="002752D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Asociados, visitantes o contratistas con artículos sueltos llevados en un bolsillo por encima de la cintura.</w:t>
            </w:r>
          </w:p>
        </w:tc>
        <w:tc>
          <w:tcPr>
            <w:tcW w:w="590" w:type="dxa"/>
          </w:tcPr>
          <w:p w14:paraId="092FDFDF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0CAC2769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3709FDE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2B1CE61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A474B10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6C1766E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752D9" w:rsidRPr="00DF1C53" w14:paraId="200DB1B2" w14:textId="77777777" w:rsidTr="008D744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13029BB" w14:textId="4BBB1563" w:rsidR="002752D9" w:rsidRDefault="002752D9" w:rsidP="002752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43</w:t>
            </w:r>
          </w:p>
        </w:tc>
        <w:tc>
          <w:tcPr>
            <w:tcW w:w="1715" w:type="dxa"/>
          </w:tcPr>
          <w:p w14:paraId="1A77DA50" w14:textId="039977A4" w:rsidR="002332D5" w:rsidRPr="002332D5" w:rsidRDefault="002332D5" w:rsidP="002332D5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Cuchillos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tijeras</w:t>
            </w:r>
            <w:proofErr w:type="spellEnd"/>
          </w:p>
          <w:p w14:paraId="02FEE504" w14:textId="7E210D9A" w:rsidR="002332D5" w:rsidRPr="002332D5" w:rsidRDefault="002332D5" w:rsidP="002332D5">
            <w:pPr>
              <w:pStyle w:val="NoSpacing"/>
              <w:rPr>
                <w:sz w:val="18"/>
                <w:szCs w:val="18"/>
              </w:rPr>
            </w:pP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</w:p>
          <w:p w14:paraId="6FBDBC74" w14:textId="09B67E93" w:rsidR="002752D9" w:rsidRDefault="002332D5" w:rsidP="002332D5">
            <w:pPr>
              <w:pStyle w:val="NoSpacing"/>
              <w:rPr>
                <w:sz w:val="18"/>
                <w:szCs w:val="18"/>
              </w:rPr>
            </w:pP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  <w:r w:rsidRPr="002332D5">
              <w:rPr>
                <w:sz w:val="18"/>
                <w:szCs w:val="18"/>
              </w:rPr>
              <w:tab/>
            </w:r>
          </w:p>
        </w:tc>
        <w:tc>
          <w:tcPr>
            <w:tcW w:w="2043" w:type="dxa"/>
          </w:tcPr>
          <w:p w14:paraId="55A908E3" w14:textId="4AAFACC4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Cuchillos y Tijeras</w:t>
            </w:r>
          </w:p>
          <w:p w14:paraId="4E2E9AD4" w14:textId="77777777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</w:p>
          <w:p w14:paraId="50C6C734" w14:textId="77777777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*Cuchillos ubicados junto a la salida del Probador (2 unidades), debidamente codificados y en buen estado?</w:t>
            </w:r>
          </w:p>
          <w:p w14:paraId="74D4EE74" w14:textId="77777777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</w:p>
          <w:p w14:paraId="27CCCCCE" w14:textId="77777777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* Cuchillo por área de escala (1 unidad) correctamente codificado y en buenas condiciones?</w:t>
            </w:r>
          </w:p>
          <w:p w14:paraId="76D9CDA1" w14:textId="77777777" w:rsidR="0055723D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</w:p>
          <w:p w14:paraId="5CF39FF5" w14:textId="1CB28EAE" w:rsidR="002752D9" w:rsidRPr="00CE7D33" w:rsidRDefault="0055723D" w:rsidP="0055723D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*Tijeras por área de escalado en buen estado?</w:t>
            </w:r>
          </w:p>
        </w:tc>
        <w:tc>
          <w:tcPr>
            <w:tcW w:w="590" w:type="dxa"/>
          </w:tcPr>
          <w:p w14:paraId="094C508D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FBADCD5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4EB6A647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015D5E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70BBA5CE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69D4B41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752D9" w:rsidRPr="00DF1C53" w14:paraId="22DFA644" w14:textId="77777777" w:rsidTr="008D744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866BD40" w14:textId="22C24D65" w:rsidR="002752D9" w:rsidRDefault="002752D9" w:rsidP="002752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44</w:t>
            </w:r>
          </w:p>
        </w:tc>
        <w:tc>
          <w:tcPr>
            <w:tcW w:w="1715" w:type="dxa"/>
          </w:tcPr>
          <w:p w14:paraId="287713F2" w14:textId="587EBB35" w:rsidR="002752D9" w:rsidRDefault="002752D9" w:rsidP="002752D9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9D7FE1">
              <w:rPr>
                <w:sz w:val="18"/>
                <w:szCs w:val="18"/>
              </w:rPr>
              <w:t>Detectores</w:t>
            </w:r>
            <w:proofErr w:type="spellEnd"/>
            <w:r w:rsidRPr="009D7FE1">
              <w:rPr>
                <w:sz w:val="18"/>
                <w:szCs w:val="18"/>
              </w:rPr>
              <w:t xml:space="preserve"> de </w:t>
            </w:r>
            <w:proofErr w:type="spellStart"/>
            <w:r w:rsidRPr="009D7FE1">
              <w:rPr>
                <w:sz w:val="18"/>
                <w:szCs w:val="18"/>
              </w:rPr>
              <w:t>metales</w:t>
            </w:r>
            <w:proofErr w:type="spellEnd"/>
          </w:p>
        </w:tc>
        <w:tc>
          <w:tcPr>
            <w:tcW w:w="2043" w:type="dxa"/>
          </w:tcPr>
          <w:p w14:paraId="7B4500A1" w14:textId="10E0D3F2" w:rsidR="002752D9" w:rsidRPr="00CE7D33" w:rsidRDefault="002752D9" w:rsidP="002752D9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detectores de metales y/o dispositivos de extracción de metales se instalan en la línea (cuando corresponda), se mantienen en buena calibración y se revisan periódicamente para confirmar su funcionamiento.</w:t>
            </w:r>
          </w:p>
        </w:tc>
        <w:tc>
          <w:tcPr>
            <w:tcW w:w="590" w:type="dxa"/>
          </w:tcPr>
          <w:p w14:paraId="213618E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33660580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BEDC016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1AEEFBDD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5D41081A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22E0BDD7" w14:textId="77777777" w:rsidR="002752D9" w:rsidRPr="00CE7D33" w:rsidRDefault="002752D9" w:rsidP="002752D9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2752D9" w14:paraId="14DF3CB2" w14:textId="77777777" w:rsidTr="008D744E">
        <w:trPr>
          <w:trHeight w:val="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4B47" w14:textId="1476425B" w:rsidR="002752D9" w:rsidRDefault="002752D9" w:rsidP="002752D9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45</w:t>
            </w:r>
          </w:p>
        </w:tc>
        <w:tc>
          <w:tcPr>
            <w:tcW w:w="1715" w:type="dxa"/>
          </w:tcPr>
          <w:p w14:paraId="3526D50F" w14:textId="1C2FAFC7" w:rsidR="002752D9" w:rsidRDefault="002752D9" w:rsidP="002752D9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176D95">
              <w:rPr>
                <w:sz w:val="18"/>
                <w:szCs w:val="18"/>
              </w:rPr>
              <w:t>Codificación</w:t>
            </w:r>
            <w:proofErr w:type="spellEnd"/>
            <w:r w:rsidRPr="00176D95">
              <w:rPr>
                <w:sz w:val="18"/>
                <w:szCs w:val="18"/>
              </w:rPr>
              <w:t xml:space="preserve"> del </w:t>
            </w:r>
            <w:proofErr w:type="spellStart"/>
            <w:r w:rsidRPr="00176D95">
              <w:rPr>
                <w:sz w:val="18"/>
                <w:szCs w:val="18"/>
              </w:rPr>
              <w:t>producto</w:t>
            </w:r>
            <w:proofErr w:type="spellEnd"/>
            <w:r w:rsidRPr="00176D95">
              <w:rPr>
                <w:sz w:val="18"/>
                <w:szCs w:val="18"/>
              </w:rPr>
              <w:t xml:space="preserve"> </w:t>
            </w:r>
            <w:proofErr w:type="spellStart"/>
            <w:r w:rsidRPr="00176D95">
              <w:rPr>
                <w:sz w:val="18"/>
                <w:szCs w:val="18"/>
              </w:rPr>
              <w:t>terminado</w:t>
            </w:r>
            <w:proofErr w:type="spellEnd"/>
          </w:p>
        </w:tc>
        <w:tc>
          <w:tcPr>
            <w:tcW w:w="2043" w:type="dxa"/>
          </w:tcPr>
          <w:p w14:paraId="2DC87A71" w14:textId="6C7715FE" w:rsidR="002752D9" w:rsidRDefault="002752D9" w:rsidP="002752D9">
            <w:pPr>
              <w:pStyle w:val="NoSpacing"/>
              <w:rPr>
                <w:sz w:val="18"/>
                <w:szCs w:val="20"/>
              </w:rPr>
            </w:pPr>
            <w:r w:rsidRPr="00CE7D33">
              <w:rPr>
                <w:sz w:val="18"/>
                <w:szCs w:val="18"/>
                <w:lang w:val="pt-PT"/>
              </w:rPr>
              <w:t xml:space="preserve">El producto terminado está codificado con los códigos correctos de fecha, planta, turno y línea.  </w:t>
            </w:r>
            <w:r w:rsidRPr="00176D95">
              <w:rPr>
                <w:sz w:val="18"/>
                <w:szCs w:val="18"/>
              </w:rPr>
              <w:t xml:space="preserve">La </w:t>
            </w:r>
            <w:proofErr w:type="spellStart"/>
            <w:r w:rsidRPr="00176D95">
              <w:rPr>
                <w:sz w:val="18"/>
                <w:szCs w:val="18"/>
              </w:rPr>
              <w:t>codificación</w:t>
            </w:r>
            <w:proofErr w:type="spellEnd"/>
            <w:r w:rsidRPr="00176D95">
              <w:rPr>
                <w:sz w:val="18"/>
                <w:szCs w:val="18"/>
              </w:rPr>
              <w:t xml:space="preserve"> es </w:t>
            </w:r>
            <w:proofErr w:type="spellStart"/>
            <w:r w:rsidRPr="00176D95">
              <w:rPr>
                <w:sz w:val="18"/>
                <w:szCs w:val="18"/>
              </w:rPr>
              <w:t>clara</w:t>
            </w:r>
            <w:proofErr w:type="spellEnd"/>
            <w:r w:rsidRPr="00176D95">
              <w:rPr>
                <w:sz w:val="18"/>
                <w:szCs w:val="18"/>
              </w:rPr>
              <w:t xml:space="preserve"> y legible.</w:t>
            </w:r>
          </w:p>
        </w:tc>
        <w:tc>
          <w:tcPr>
            <w:tcW w:w="590" w:type="dxa"/>
          </w:tcPr>
          <w:p w14:paraId="7F0DFA4B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  <w:tc>
          <w:tcPr>
            <w:tcW w:w="622" w:type="dxa"/>
          </w:tcPr>
          <w:p w14:paraId="564806C1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  <w:tc>
          <w:tcPr>
            <w:tcW w:w="644" w:type="dxa"/>
          </w:tcPr>
          <w:p w14:paraId="24380F87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  <w:tc>
          <w:tcPr>
            <w:tcW w:w="1359" w:type="dxa"/>
          </w:tcPr>
          <w:p w14:paraId="15B879B9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  <w:tc>
          <w:tcPr>
            <w:tcW w:w="1833" w:type="dxa"/>
          </w:tcPr>
          <w:p w14:paraId="61227337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  <w:tc>
          <w:tcPr>
            <w:tcW w:w="1694" w:type="dxa"/>
          </w:tcPr>
          <w:p w14:paraId="01AAE9FD" w14:textId="77777777" w:rsidR="002752D9" w:rsidRDefault="002752D9" w:rsidP="002752D9">
            <w:pPr>
              <w:pStyle w:val="NoSpacing"/>
              <w:rPr>
                <w:rFonts w:eastAsia="Calibri"/>
              </w:rPr>
            </w:pPr>
          </w:p>
        </w:tc>
      </w:tr>
      <w:tr w:rsidR="008D744E" w:rsidRPr="00DF1C53" w14:paraId="107B25B4" w14:textId="77777777" w:rsidTr="008D744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64D67B60" w14:textId="77777777" w:rsidR="008D744E" w:rsidRDefault="008D744E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46</w:t>
            </w:r>
          </w:p>
        </w:tc>
        <w:tc>
          <w:tcPr>
            <w:tcW w:w="1715" w:type="dxa"/>
          </w:tcPr>
          <w:p w14:paraId="1347F682" w14:textId="77777777" w:rsidR="008D744E" w:rsidRPr="00CE7D33" w:rsidRDefault="008D744E" w:rsidP="00774E51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Uso de materiales de embalaje para fines no previstos</w:t>
            </w:r>
          </w:p>
        </w:tc>
        <w:tc>
          <w:tcPr>
            <w:tcW w:w="2043" w:type="dxa"/>
          </w:tcPr>
          <w:p w14:paraId="4AC88A87" w14:textId="77777777" w:rsidR="008D744E" w:rsidRPr="00CE7D33" w:rsidRDefault="008D744E" w:rsidP="00774E51">
            <w:pPr>
              <w:pStyle w:val="NoSpacing"/>
              <w:rPr>
                <w:sz w:val="18"/>
                <w:szCs w:val="18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Los materiales de embalaje se utilizan para fines no previstos (muestreo de ingredientes, retención de piezas de repuesto, retención de detergentes, etc.).</w:t>
            </w:r>
          </w:p>
        </w:tc>
        <w:tc>
          <w:tcPr>
            <w:tcW w:w="590" w:type="dxa"/>
          </w:tcPr>
          <w:p w14:paraId="0A774AD1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D7DEB60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02BB853D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6EF333F3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031CD35D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03E5585A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8D744E" w:rsidRPr="00DF1C53" w14:paraId="10689257" w14:textId="77777777" w:rsidTr="008D744E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5F622CEA" w14:textId="77777777" w:rsidR="008D744E" w:rsidRDefault="008D744E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47</w:t>
            </w:r>
          </w:p>
        </w:tc>
        <w:tc>
          <w:tcPr>
            <w:tcW w:w="1715" w:type="dxa"/>
          </w:tcPr>
          <w:p w14:paraId="5462095A" w14:textId="77777777" w:rsidR="008D744E" w:rsidRDefault="008D744E" w:rsidP="00774E51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A22E4">
              <w:rPr>
                <w:sz w:val="18"/>
                <w:szCs w:val="18"/>
              </w:rPr>
              <w:t xml:space="preserve">y </w:t>
            </w:r>
            <w:proofErr w:type="spellStart"/>
            <w:r w:rsidRPr="00EA22E4">
              <w:rPr>
                <w:sz w:val="18"/>
                <w:szCs w:val="18"/>
              </w:rPr>
              <w:t>termómetros</w:t>
            </w:r>
            <w:proofErr w:type="spellEnd"/>
          </w:p>
        </w:tc>
        <w:tc>
          <w:tcPr>
            <w:tcW w:w="2043" w:type="dxa"/>
          </w:tcPr>
          <w:p w14:paraId="500D98E9" w14:textId="77777777" w:rsidR="008D744E" w:rsidRPr="00CE7D33" w:rsidRDefault="008D744E" w:rsidP="00774E51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Pesas y termómetros en buen estado de funcionamiento, incluida la calibración.</w:t>
            </w:r>
          </w:p>
        </w:tc>
        <w:tc>
          <w:tcPr>
            <w:tcW w:w="590" w:type="dxa"/>
          </w:tcPr>
          <w:p w14:paraId="34B00CF8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60EE5644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3270562E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1AA6F6A2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1250691D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31DD4338" w14:textId="77777777" w:rsidR="008D744E" w:rsidRPr="00CE7D33" w:rsidRDefault="008D744E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62ADFCB9" w14:textId="47C53620" w:rsidR="005E62BA" w:rsidRPr="008D744E" w:rsidRDefault="005E62BA">
      <w:pPr>
        <w:rPr>
          <w:rFonts w:eastAsia="Calibri"/>
          <w:sz w:val="22"/>
          <w:lang w:val="pt-PT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715"/>
        <w:gridCol w:w="2043"/>
        <w:gridCol w:w="590"/>
        <w:gridCol w:w="622"/>
        <w:gridCol w:w="644"/>
        <w:gridCol w:w="1359"/>
        <w:gridCol w:w="1833"/>
        <w:gridCol w:w="1694"/>
      </w:tblGrid>
      <w:tr w:rsidR="005E62BA" w14:paraId="60EC2D92" w14:textId="77777777" w:rsidTr="00CE7D33">
        <w:trPr>
          <w:trHeight w:val="665"/>
        </w:trPr>
        <w:tc>
          <w:tcPr>
            <w:tcW w:w="516" w:type="dxa"/>
            <w:vMerge w:val="restart"/>
          </w:tcPr>
          <w:p w14:paraId="4A312F9F" w14:textId="77777777" w:rsidR="005E62BA" w:rsidRPr="008D744E" w:rsidRDefault="005E62BA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  <w:p w14:paraId="5BFCB55C" w14:textId="77777777" w:rsidR="005E62BA" w:rsidRPr="008D744E" w:rsidRDefault="005E62BA" w:rsidP="006B4D5E">
            <w:pPr>
              <w:rPr>
                <w:rFonts w:ascii="Arial" w:eastAsia="Calibri" w:hAnsi="Arial" w:cs="Arial"/>
                <w:sz w:val="20"/>
                <w:lang w:val="pt-PT"/>
              </w:rPr>
            </w:pPr>
          </w:p>
        </w:tc>
        <w:tc>
          <w:tcPr>
            <w:tcW w:w="1715" w:type="dxa"/>
            <w:vMerge w:val="restart"/>
            <w:tcBorders>
              <w:top w:val="single" w:sz="4" w:space="0" w:color="auto"/>
            </w:tcBorders>
            <w:vAlign w:val="center"/>
          </w:tcPr>
          <w:p w14:paraId="08C67905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Area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</w:tcBorders>
            <w:vAlign w:val="center"/>
          </w:tcPr>
          <w:p w14:paraId="411D6C30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Practica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Estandar</w:t>
            </w:r>
            <w:proofErr w:type="spellEnd"/>
          </w:p>
        </w:tc>
        <w:tc>
          <w:tcPr>
            <w:tcW w:w="1856" w:type="dxa"/>
            <w:gridSpan w:val="3"/>
            <w:tcBorders>
              <w:top w:val="single" w:sz="4" w:space="0" w:color="auto"/>
            </w:tcBorders>
          </w:tcPr>
          <w:p w14:paraId="20CC5032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Condiciones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acceptable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</w:tcBorders>
            <w:vAlign w:val="center"/>
          </w:tcPr>
          <w:p w14:paraId="592D5113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Comentarios</w:t>
            </w:r>
            <w:proofErr w:type="spellEnd"/>
          </w:p>
        </w:tc>
        <w:tc>
          <w:tcPr>
            <w:tcW w:w="1833" w:type="dxa"/>
            <w:vMerge w:val="restart"/>
            <w:tcBorders>
              <w:top w:val="single" w:sz="4" w:space="0" w:color="auto"/>
            </w:tcBorders>
            <w:vAlign w:val="center"/>
          </w:tcPr>
          <w:p w14:paraId="3A8C279C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 xml:space="preserve">Action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Correcion</w:t>
            </w:r>
            <w:proofErr w:type="spellEnd"/>
          </w:p>
        </w:tc>
        <w:tc>
          <w:tcPr>
            <w:tcW w:w="1694" w:type="dxa"/>
            <w:vMerge w:val="restart"/>
            <w:tcBorders>
              <w:top w:val="single" w:sz="4" w:space="0" w:color="auto"/>
            </w:tcBorders>
            <w:vAlign w:val="center"/>
          </w:tcPr>
          <w:p w14:paraId="2DD8601E" w14:textId="77777777" w:rsidR="005E62BA" w:rsidRDefault="005E62BA" w:rsidP="006B4D5E">
            <w:pPr>
              <w:pStyle w:val="NoSpacing"/>
              <w:jc w:val="center"/>
              <w:rPr>
                <w:rFonts w:ascii="Arial" w:eastAsia="Calibri" w:hAnsi="Arial" w:cs="Arial"/>
                <w:b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Fecha</w:t>
            </w:r>
            <w:proofErr w:type="spellEnd"/>
            <w:r>
              <w:rPr>
                <w:rFonts w:ascii="Arial" w:eastAsia="Calibri" w:hAnsi="Arial" w:cs="Arial"/>
                <w:b/>
                <w:sz w:val="18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b/>
                <w:sz w:val="18"/>
              </w:rPr>
              <w:t>Correccion</w:t>
            </w:r>
            <w:proofErr w:type="spellEnd"/>
          </w:p>
        </w:tc>
      </w:tr>
      <w:tr w:rsidR="005E62BA" w14:paraId="691C66A9" w14:textId="77777777" w:rsidTr="00CE7D33">
        <w:tc>
          <w:tcPr>
            <w:tcW w:w="516" w:type="dxa"/>
            <w:vMerge/>
          </w:tcPr>
          <w:p w14:paraId="5F9D2F9A" w14:textId="77777777" w:rsidR="005E62BA" w:rsidRDefault="005E62BA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5" w:type="dxa"/>
            <w:vMerge/>
          </w:tcPr>
          <w:p w14:paraId="2C380090" w14:textId="77777777" w:rsidR="005E62BA" w:rsidRDefault="005E62BA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043" w:type="dxa"/>
            <w:vMerge/>
          </w:tcPr>
          <w:p w14:paraId="7B7A5113" w14:textId="77777777" w:rsidR="005E62BA" w:rsidRDefault="005E62BA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90" w:type="dxa"/>
          </w:tcPr>
          <w:p w14:paraId="1E855205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Si</w:t>
            </w:r>
          </w:p>
        </w:tc>
        <w:tc>
          <w:tcPr>
            <w:tcW w:w="622" w:type="dxa"/>
          </w:tcPr>
          <w:p w14:paraId="7BA85710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No</w:t>
            </w:r>
          </w:p>
        </w:tc>
        <w:tc>
          <w:tcPr>
            <w:tcW w:w="644" w:type="dxa"/>
          </w:tcPr>
          <w:p w14:paraId="04210B6F" w14:textId="77777777" w:rsidR="005E62BA" w:rsidRDefault="005E62BA" w:rsidP="006B4D5E">
            <w:pPr>
              <w:jc w:val="center"/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N/A</w:t>
            </w:r>
          </w:p>
        </w:tc>
        <w:tc>
          <w:tcPr>
            <w:tcW w:w="1359" w:type="dxa"/>
            <w:vMerge/>
          </w:tcPr>
          <w:p w14:paraId="02C0564D" w14:textId="77777777" w:rsidR="005E62BA" w:rsidRDefault="005E62BA" w:rsidP="006B4D5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833" w:type="dxa"/>
            <w:vMerge/>
          </w:tcPr>
          <w:p w14:paraId="27BB8B8F" w14:textId="77777777" w:rsidR="005E62BA" w:rsidRDefault="005E62BA" w:rsidP="006B4D5E">
            <w:pPr>
              <w:rPr>
                <w:rFonts w:eastAsia="Calibri"/>
              </w:rPr>
            </w:pPr>
          </w:p>
        </w:tc>
        <w:tc>
          <w:tcPr>
            <w:tcW w:w="1694" w:type="dxa"/>
            <w:vMerge/>
          </w:tcPr>
          <w:p w14:paraId="60E5C0A5" w14:textId="77777777" w:rsidR="005E62BA" w:rsidRDefault="005E62BA" w:rsidP="006B4D5E">
            <w:pPr>
              <w:rPr>
                <w:rFonts w:eastAsia="Calibri"/>
              </w:rPr>
            </w:pPr>
          </w:p>
        </w:tc>
      </w:tr>
      <w:tr w:rsidR="008625F4" w:rsidRPr="00DF1C53" w14:paraId="58975214" w14:textId="77777777" w:rsidTr="00CE7D33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3E50F69E" w14:textId="18D3B12E" w:rsidR="008625F4" w:rsidRDefault="008625F4" w:rsidP="008625F4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48</w:t>
            </w:r>
          </w:p>
        </w:tc>
        <w:tc>
          <w:tcPr>
            <w:tcW w:w="1715" w:type="dxa"/>
          </w:tcPr>
          <w:p w14:paraId="4311DB92" w14:textId="23E4C649" w:rsidR="008625F4" w:rsidRDefault="008625F4" w:rsidP="008625F4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Impresoras</w:t>
            </w:r>
            <w:proofErr w:type="spellEnd"/>
            <w:r>
              <w:rPr>
                <w:sz w:val="18"/>
                <w:szCs w:val="18"/>
              </w:rPr>
              <w:t xml:space="preserve"> del </w:t>
            </w:r>
            <w:proofErr w:type="spellStart"/>
            <w:r>
              <w:rPr>
                <w:sz w:val="18"/>
                <w:szCs w:val="18"/>
              </w:rPr>
              <w:t>producto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terminado</w:t>
            </w:r>
            <w:proofErr w:type="spellEnd"/>
          </w:p>
        </w:tc>
        <w:tc>
          <w:tcPr>
            <w:tcW w:w="2043" w:type="dxa"/>
          </w:tcPr>
          <w:p w14:paraId="5D2736DF" w14:textId="1A97B032" w:rsidR="008625F4" w:rsidRPr="00CE7D33" w:rsidRDefault="008625F4" w:rsidP="008625F4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Cortadora #1, Cortadora#2, Cortadora#:3 codificadores en buen funcionamiento.</w:t>
            </w:r>
          </w:p>
        </w:tc>
        <w:tc>
          <w:tcPr>
            <w:tcW w:w="590" w:type="dxa"/>
          </w:tcPr>
          <w:p w14:paraId="4470F3A2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3C3F79E6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A34438B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72102746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70BFAB54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041C9BF2" w14:textId="77777777" w:rsidR="008625F4" w:rsidRPr="00CE7D33" w:rsidRDefault="008625F4" w:rsidP="008625F4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A24AF4" w:rsidRPr="00DF1C53" w14:paraId="0D243802" w14:textId="77777777" w:rsidTr="00CE7D33"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7F1B6B2A" w14:textId="14300D45" w:rsidR="00A24AF4" w:rsidRPr="003F2E27" w:rsidRDefault="00A24AF4" w:rsidP="00D84EF7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3F2E27">
              <w:rPr>
                <w:rFonts w:eastAsia="Calibri"/>
                <w:b/>
                <w:sz w:val="18"/>
                <w:szCs w:val="18"/>
              </w:rPr>
              <w:t>49</w:t>
            </w:r>
          </w:p>
        </w:tc>
        <w:tc>
          <w:tcPr>
            <w:tcW w:w="1715" w:type="dxa"/>
          </w:tcPr>
          <w:p w14:paraId="59EB3805" w14:textId="095F169E" w:rsidR="00A24AF4" w:rsidRPr="003F2E27" w:rsidRDefault="00A24AF4" w:rsidP="00D84EF7">
            <w:pPr>
              <w:pStyle w:val="NoSpacing"/>
              <w:rPr>
                <w:sz w:val="18"/>
                <w:szCs w:val="18"/>
              </w:rPr>
            </w:pPr>
            <w:r w:rsidRPr="003F2E27">
              <w:rPr>
                <w:sz w:val="18"/>
                <w:szCs w:val="18"/>
              </w:rPr>
              <w:t xml:space="preserve">Areas </w:t>
            </w:r>
            <w:proofErr w:type="spellStart"/>
            <w:r w:rsidRPr="003F2E27">
              <w:rPr>
                <w:sz w:val="18"/>
                <w:szCs w:val="18"/>
              </w:rPr>
              <w:t>en</w:t>
            </w:r>
            <w:proofErr w:type="spellEnd"/>
            <w:r w:rsidRPr="003F2E27">
              <w:rPr>
                <w:sz w:val="18"/>
                <w:szCs w:val="18"/>
              </w:rPr>
              <w:t xml:space="preserve"> general</w:t>
            </w:r>
          </w:p>
        </w:tc>
        <w:tc>
          <w:tcPr>
            <w:tcW w:w="2043" w:type="dxa"/>
          </w:tcPr>
          <w:p w14:paraId="2FD10B22" w14:textId="4DB164B2" w:rsidR="00A24AF4" w:rsidRPr="00CE7D33" w:rsidRDefault="00532E8E" w:rsidP="00D84EF7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18"/>
                <w:lang w:val="pt-PT"/>
              </w:rPr>
              <w:t>Letreros de Allergenos, Productos Organicos, Fire Extinguishers, Hold. En Buena condicion y localizados en su area correcta.</w:t>
            </w:r>
          </w:p>
        </w:tc>
        <w:tc>
          <w:tcPr>
            <w:tcW w:w="590" w:type="dxa"/>
          </w:tcPr>
          <w:p w14:paraId="01A4DFBD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2D27F49B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70DFB8D2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51C245D0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24FD25FD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EA72431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A24AF4" w:rsidRPr="00DF1C53" w14:paraId="721B41BF" w14:textId="77777777" w:rsidTr="00CE7D33">
        <w:trPr>
          <w:trHeight w:val="791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58428FDA" w14:textId="4021F0B0" w:rsidR="00A24AF4" w:rsidRPr="003F2E27" w:rsidRDefault="00A24AF4" w:rsidP="00D84EF7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 w:rsidRPr="003F2E27">
              <w:rPr>
                <w:rFonts w:eastAsia="Calibri"/>
                <w:b/>
                <w:sz w:val="18"/>
                <w:szCs w:val="18"/>
              </w:rPr>
              <w:t>50</w:t>
            </w:r>
          </w:p>
        </w:tc>
        <w:tc>
          <w:tcPr>
            <w:tcW w:w="1715" w:type="dxa"/>
          </w:tcPr>
          <w:p w14:paraId="0C95915D" w14:textId="4E3D5ACE" w:rsidR="00A24AF4" w:rsidRPr="003F2E27" w:rsidRDefault="00A24AF4" w:rsidP="00D84EF7">
            <w:pPr>
              <w:pStyle w:val="NoSpacing"/>
              <w:rPr>
                <w:sz w:val="18"/>
                <w:szCs w:val="18"/>
              </w:rPr>
            </w:pPr>
            <w:r w:rsidRPr="003F2E27">
              <w:rPr>
                <w:sz w:val="18"/>
                <w:szCs w:val="18"/>
              </w:rPr>
              <w:t>Exterior de la planta</w:t>
            </w:r>
          </w:p>
        </w:tc>
        <w:tc>
          <w:tcPr>
            <w:tcW w:w="2043" w:type="dxa"/>
          </w:tcPr>
          <w:p w14:paraId="60F6573A" w14:textId="072536FB" w:rsidR="00A24AF4" w:rsidRPr="00CE7D33" w:rsidRDefault="009C37A8" w:rsidP="00D84EF7">
            <w:pPr>
              <w:pStyle w:val="NoSpacing"/>
              <w:rPr>
                <w:sz w:val="18"/>
                <w:szCs w:val="20"/>
                <w:lang w:val="pt-PT"/>
              </w:rPr>
            </w:pPr>
            <w:r w:rsidRPr="00CE7D33">
              <w:rPr>
                <w:sz w:val="18"/>
                <w:szCs w:val="20"/>
                <w:lang w:val="pt-PT"/>
              </w:rPr>
              <w:t>Jardineria “hier</w:t>
            </w:r>
            <w:r w:rsidR="00930AFF" w:rsidRPr="00CE7D33">
              <w:rPr>
                <w:sz w:val="18"/>
                <w:szCs w:val="20"/>
                <w:lang w:val="pt-PT"/>
              </w:rPr>
              <w:t>b</w:t>
            </w:r>
            <w:r w:rsidRPr="00CE7D33">
              <w:rPr>
                <w:sz w:val="18"/>
                <w:szCs w:val="20"/>
                <w:lang w:val="pt-PT"/>
              </w:rPr>
              <w:t xml:space="preserve">a” </w:t>
            </w:r>
            <w:r w:rsidR="00A24AF4" w:rsidRPr="00CE7D33">
              <w:rPr>
                <w:sz w:val="18"/>
                <w:szCs w:val="20"/>
                <w:lang w:val="pt-PT"/>
              </w:rPr>
              <w:t>del exterior en buen estado, corta y libre de basura</w:t>
            </w:r>
            <w:r w:rsidR="00CB5988" w:rsidRPr="00CE7D33">
              <w:rPr>
                <w:sz w:val="18"/>
                <w:szCs w:val="20"/>
                <w:lang w:val="pt-PT"/>
              </w:rPr>
              <w:t>.</w:t>
            </w:r>
          </w:p>
        </w:tc>
        <w:tc>
          <w:tcPr>
            <w:tcW w:w="590" w:type="dxa"/>
          </w:tcPr>
          <w:p w14:paraId="657D3FFB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110C8050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27A347C5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3E0507B7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6205C554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12701D28" w14:textId="77777777" w:rsidR="00A24AF4" w:rsidRPr="00CE7D33" w:rsidRDefault="00A24AF4" w:rsidP="00D84EF7">
            <w:pPr>
              <w:pStyle w:val="NoSpacing"/>
              <w:rPr>
                <w:rFonts w:eastAsia="Calibri"/>
                <w:lang w:val="pt-PT"/>
              </w:rPr>
            </w:pPr>
          </w:p>
        </w:tc>
      </w:tr>
      <w:tr w:rsidR="00CE7D33" w:rsidRPr="00DF1C53" w14:paraId="4780BFBC" w14:textId="77777777" w:rsidTr="00CE7D33">
        <w:trPr>
          <w:trHeight w:val="791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</w:tcBorders>
          </w:tcPr>
          <w:p w14:paraId="4EE4D4C9" w14:textId="1DD75FB8" w:rsidR="00CE7D33" w:rsidRPr="003F2E27" w:rsidRDefault="00CE7D33" w:rsidP="00774E51">
            <w:pPr>
              <w:pStyle w:val="NoSpacing"/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51</w:t>
            </w:r>
          </w:p>
        </w:tc>
        <w:tc>
          <w:tcPr>
            <w:tcW w:w="1715" w:type="dxa"/>
          </w:tcPr>
          <w:p w14:paraId="3BC40567" w14:textId="68D8014E" w:rsidR="00CE7D33" w:rsidRPr="003F2E27" w:rsidRDefault="00B41184" w:rsidP="00774E51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Integridad</w:t>
            </w:r>
            <w:proofErr w:type="spellEnd"/>
            <w:r>
              <w:rPr>
                <w:sz w:val="18"/>
                <w:szCs w:val="18"/>
              </w:rPr>
              <w:t xml:space="preserve"> de product </w:t>
            </w:r>
            <w:proofErr w:type="spellStart"/>
            <w:r>
              <w:rPr>
                <w:sz w:val="18"/>
                <w:szCs w:val="18"/>
              </w:rPr>
              <w:t>Organico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43" w:type="dxa"/>
          </w:tcPr>
          <w:p w14:paraId="2155FE68" w14:textId="77777777" w:rsidR="00396E3A" w:rsidRPr="00396E3A" w:rsidRDefault="00396E3A" w:rsidP="00396E3A">
            <w:pPr>
              <w:pStyle w:val="NoSpacing"/>
              <w:rPr>
                <w:sz w:val="18"/>
                <w:szCs w:val="20"/>
                <w:lang w:val="pt-PT"/>
              </w:rPr>
            </w:pPr>
            <w:r w:rsidRPr="00396E3A">
              <w:rPr>
                <w:sz w:val="18"/>
                <w:szCs w:val="20"/>
                <w:lang w:val="pt-PT"/>
              </w:rPr>
              <w:t>Las herramientas orgánicas dedicadas se almacenan en un lugar designado.</w:t>
            </w:r>
          </w:p>
          <w:p w14:paraId="7B0D9506" w14:textId="77777777" w:rsidR="00396E3A" w:rsidRPr="00396E3A" w:rsidRDefault="00396E3A" w:rsidP="00396E3A">
            <w:pPr>
              <w:pStyle w:val="NoSpacing"/>
              <w:rPr>
                <w:sz w:val="18"/>
                <w:szCs w:val="20"/>
                <w:lang w:val="pt-PT"/>
              </w:rPr>
            </w:pPr>
            <w:r w:rsidRPr="00396E3A">
              <w:rPr>
                <w:sz w:val="18"/>
                <w:szCs w:val="20"/>
                <w:lang w:val="pt-PT"/>
              </w:rPr>
              <w:t>Se mantiene la integridad orgánica de todos los ingredientes y productos terminados en el almacenamiento.</w:t>
            </w:r>
          </w:p>
          <w:p w14:paraId="002AC612" w14:textId="531AFEB1" w:rsidR="00396E3A" w:rsidRPr="00396E3A" w:rsidRDefault="00396E3A" w:rsidP="00396E3A">
            <w:pPr>
              <w:pStyle w:val="NoSpacing"/>
              <w:rPr>
                <w:sz w:val="18"/>
                <w:szCs w:val="20"/>
                <w:lang w:val="pt-PT"/>
              </w:rPr>
            </w:pPr>
            <w:r w:rsidRPr="00396E3A">
              <w:rPr>
                <w:sz w:val="18"/>
                <w:szCs w:val="20"/>
                <w:lang w:val="pt-PT"/>
              </w:rPr>
              <w:t>Los procedimientos de manipulación orgánica se siguen durante la ejecución del pan orgánico.</w:t>
            </w:r>
          </w:p>
          <w:p w14:paraId="28E60B1E" w14:textId="77777777" w:rsidR="00396E3A" w:rsidRPr="00396E3A" w:rsidRDefault="00396E3A" w:rsidP="00774E51">
            <w:pPr>
              <w:pStyle w:val="NoSpacing"/>
              <w:rPr>
                <w:sz w:val="18"/>
                <w:szCs w:val="20"/>
                <w:lang w:val="pt-PT"/>
              </w:rPr>
            </w:pPr>
          </w:p>
          <w:p w14:paraId="6A1006D9" w14:textId="20F3092F" w:rsidR="00396E3A" w:rsidRPr="00396E3A" w:rsidRDefault="00396E3A" w:rsidP="00774E51">
            <w:pPr>
              <w:pStyle w:val="NoSpacing"/>
              <w:rPr>
                <w:sz w:val="18"/>
                <w:szCs w:val="20"/>
                <w:lang w:val="pt-PT"/>
              </w:rPr>
            </w:pPr>
          </w:p>
        </w:tc>
        <w:tc>
          <w:tcPr>
            <w:tcW w:w="590" w:type="dxa"/>
          </w:tcPr>
          <w:p w14:paraId="03E3A926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22" w:type="dxa"/>
          </w:tcPr>
          <w:p w14:paraId="4FDCC303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644" w:type="dxa"/>
          </w:tcPr>
          <w:p w14:paraId="63322A5F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359" w:type="dxa"/>
          </w:tcPr>
          <w:p w14:paraId="16906803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833" w:type="dxa"/>
          </w:tcPr>
          <w:p w14:paraId="3CF30B57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  <w:tc>
          <w:tcPr>
            <w:tcW w:w="1694" w:type="dxa"/>
          </w:tcPr>
          <w:p w14:paraId="5306D0B0" w14:textId="77777777" w:rsidR="00CE7D33" w:rsidRPr="00396E3A" w:rsidRDefault="00CE7D33" w:rsidP="00774E51">
            <w:pPr>
              <w:pStyle w:val="NoSpacing"/>
              <w:rPr>
                <w:rFonts w:eastAsia="Calibri"/>
                <w:lang w:val="pt-PT"/>
              </w:rPr>
            </w:pPr>
          </w:p>
        </w:tc>
      </w:tr>
    </w:tbl>
    <w:p w14:paraId="3A76D185" w14:textId="77777777" w:rsidR="00550517" w:rsidRPr="00396E3A" w:rsidRDefault="00550517" w:rsidP="0091123F">
      <w:pPr>
        <w:rPr>
          <w:rFonts w:eastAsia="Calibri"/>
          <w:lang w:val="pt-PT"/>
        </w:rPr>
      </w:pPr>
    </w:p>
    <w:p w14:paraId="12385340" w14:textId="578BDD4F" w:rsidR="00CD4970" w:rsidRPr="00CE7D33" w:rsidRDefault="0091123F" w:rsidP="0091123F">
      <w:pPr>
        <w:rPr>
          <w:rFonts w:eastAsia="Calibri"/>
          <w:lang w:val="pt-PT"/>
        </w:rPr>
      </w:pPr>
      <w:r w:rsidRPr="00CE7D33">
        <w:rPr>
          <w:rFonts w:eastAsia="Calibri"/>
          <w:lang w:val="pt-PT"/>
        </w:rPr>
        <w:t xml:space="preserve">La inspección pre operativa se llevará a cabo antes de comenzar la producción en el </w:t>
      </w:r>
      <w:r w:rsidRPr="00CE7D33">
        <w:rPr>
          <w:rFonts w:eastAsia="Calibri"/>
          <w:b/>
          <w:bCs/>
          <w:u w:val="single"/>
          <w:lang w:val="pt-PT"/>
        </w:rPr>
        <w:t>primer y segundo turno.</w:t>
      </w:r>
    </w:p>
    <w:p w14:paraId="1C7B08E5" w14:textId="3D46C4D8" w:rsidR="0091123F" w:rsidRPr="00CE7D33" w:rsidRDefault="0091123F" w:rsidP="0091123F">
      <w:pPr>
        <w:rPr>
          <w:rFonts w:eastAsia="Calibri"/>
          <w:sz w:val="22"/>
          <w:lang w:val="pt-PT"/>
        </w:rPr>
      </w:pPr>
    </w:p>
    <w:p w14:paraId="5EFA78F8" w14:textId="2321B188" w:rsidR="00CD4970" w:rsidRPr="00A24AF4" w:rsidRDefault="00CD4970" w:rsidP="0091123F">
      <w:pPr>
        <w:rPr>
          <w:rFonts w:eastAsia="Calibri"/>
          <w:b/>
          <w:bCs/>
          <w:sz w:val="22"/>
        </w:rPr>
      </w:pPr>
      <w:r w:rsidRPr="00A24AF4">
        <w:rPr>
          <w:rFonts w:eastAsia="Calibri"/>
          <w:b/>
          <w:bCs/>
          <w:sz w:val="22"/>
        </w:rPr>
        <w:t>First Shift</w:t>
      </w:r>
    </w:p>
    <w:p w14:paraId="5EA461F5" w14:textId="77777777" w:rsidR="00CD4970" w:rsidRDefault="00CD4970" w:rsidP="0091123F">
      <w:pPr>
        <w:rPr>
          <w:rFonts w:eastAsia="Calibri"/>
          <w:sz w:val="22"/>
        </w:rPr>
      </w:pPr>
    </w:p>
    <w:p w14:paraId="6B721EEB" w14:textId="7355D6D0" w:rsidR="0091123F" w:rsidRDefault="0091123F" w:rsidP="0091123F">
      <w:pPr>
        <w:rPr>
          <w:rFonts w:eastAsia="Calibri"/>
          <w:sz w:val="22"/>
        </w:rPr>
      </w:pPr>
      <w:bookmarkStart w:id="3" w:name="_Hlk115873396"/>
      <w:r>
        <w:rPr>
          <w:rFonts w:eastAsia="Calibri"/>
          <w:sz w:val="22"/>
        </w:rPr>
        <w:t>Auditor: _______________________________</w:t>
      </w:r>
      <w:r>
        <w:rPr>
          <w:rFonts w:eastAsia="Calibri"/>
          <w:sz w:val="22"/>
        </w:rPr>
        <w:tab/>
        <w:t>Date: ________________________</w:t>
      </w:r>
      <w:r>
        <w:rPr>
          <w:rFonts w:eastAsia="Calibri"/>
          <w:sz w:val="22"/>
        </w:rPr>
        <w:tab/>
        <w:t>Time: __________AM        PM</w:t>
      </w:r>
    </w:p>
    <w:bookmarkEnd w:id="3"/>
    <w:p w14:paraId="66E6F78B" w14:textId="77777777" w:rsidR="00CD4970" w:rsidRDefault="00CD4970" w:rsidP="00CD4970">
      <w:pPr>
        <w:rPr>
          <w:rFonts w:eastAsia="Calibri"/>
          <w:sz w:val="22"/>
        </w:rPr>
      </w:pPr>
    </w:p>
    <w:p w14:paraId="6E40029C" w14:textId="77777777" w:rsidR="008D744E" w:rsidRDefault="008D744E" w:rsidP="00CD4970">
      <w:pPr>
        <w:rPr>
          <w:rFonts w:eastAsia="Calibri"/>
          <w:b/>
          <w:bCs/>
          <w:sz w:val="22"/>
        </w:rPr>
      </w:pPr>
    </w:p>
    <w:p w14:paraId="4FBA6879" w14:textId="72BA4041" w:rsidR="00CD4970" w:rsidRPr="00A24AF4" w:rsidRDefault="00CD4970" w:rsidP="00CD4970">
      <w:pPr>
        <w:rPr>
          <w:rFonts w:eastAsia="Calibri"/>
          <w:b/>
          <w:bCs/>
          <w:sz w:val="22"/>
        </w:rPr>
      </w:pPr>
      <w:r w:rsidRPr="00A24AF4">
        <w:rPr>
          <w:rFonts w:eastAsia="Calibri"/>
          <w:b/>
          <w:bCs/>
          <w:sz w:val="22"/>
        </w:rPr>
        <w:t>Second Shift</w:t>
      </w:r>
    </w:p>
    <w:p w14:paraId="015EC719" w14:textId="77777777" w:rsidR="00CD4970" w:rsidRDefault="00CD4970" w:rsidP="00CD4970">
      <w:pPr>
        <w:rPr>
          <w:rFonts w:eastAsia="Calibri"/>
          <w:sz w:val="22"/>
        </w:rPr>
      </w:pPr>
    </w:p>
    <w:p w14:paraId="1418FBEF" w14:textId="26B4044D" w:rsidR="0091123F" w:rsidRDefault="00CD4970" w:rsidP="0091123F">
      <w:pPr>
        <w:rPr>
          <w:rFonts w:eastAsia="Calibri"/>
          <w:sz w:val="22"/>
        </w:rPr>
      </w:pPr>
      <w:r>
        <w:rPr>
          <w:rFonts w:eastAsia="Calibri"/>
          <w:sz w:val="22"/>
        </w:rPr>
        <w:t>Auditor: _______________________________</w:t>
      </w:r>
      <w:r>
        <w:rPr>
          <w:rFonts w:eastAsia="Calibri"/>
          <w:sz w:val="22"/>
        </w:rPr>
        <w:tab/>
        <w:t>Date: ________________________</w:t>
      </w:r>
      <w:r>
        <w:rPr>
          <w:rFonts w:eastAsia="Calibri"/>
          <w:sz w:val="22"/>
        </w:rPr>
        <w:tab/>
        <w:t>Time: __________AM        PM</w:t>
      </w:r>
    </w:p>
    <w:p w14:paraId="1D85BC4B" w14:textId="77777777" w:rsidR="0091123F" w:rsidRDefault="0091123F" w:rsidP="0091123F">
      <w:pPr>
        <w:rPr>
          <w:rFonts w:eastAsia="Calibri"/>
          <w:sz w:val="22"/>
        </w:rPr>
      </w:pPr>
    </w:p>
    <w:p w14:paraId="2A027BEC" w14:textId="77777777" w:rsidR="008D744E" w:rsidRDefault="008D744E" w:rsidP="0091123F">
      <w:pPr>
        <w:rPr>
          <w:rFonts w:eastAsia="Calibri"/>
          <w:sz w:val="22"/>
        </w:rPr>
      </w:pPr>
    </w:p>
    <w:p w14:paraId="361A2F09" w14:textId="77777777" w:rsidR="008D744E" w:rsidRDefault="008D744E" w:rsidP="0091123F">
      <w:pPr>
        <w:rPr>
          <w:rFonts w:eastAsia="Calibri"/>
          <w:sz w:val="22"/>
        </w:rPr>
      </w:pPr>
    </w:p>
    <w:p w14:paraId="2E955320" w14:textId="3C58CF6C" w:rsidR="0091123F" w:rsidRDefault="0091123F" w:rsidP="0091123F">
      <w:pPr>
        <w:rPr>
          <w:rFonts w:eastAsia="Calibri"/>
          <w:sz w:val="22"/>
        </w:rPr>
      </w:pPr>
      <w:r>
        <w:rPr>
          <w:rFonts w:eastAsia="Calibri"/>
          <w:sz w:val="22"/>
        </w:rPr>
        <w:t>Reviewed by: ____________________________</w:t>
      </w:r>
      <w:r>
        <w:rPr>
          <w:rFonts w:eastAsia="Calibri"/>
          <w:sz w:val="22"/>
        </w:rPr>
        <w:tab/>
        <w:t>Date: ________________________</w:t>
      </w:r>
    </w:p>
    <w:p w14:paraId="27B89AD7" w14:textId="77777777" w:rsidR="008625F4" w:rsidRDefault="008625F4">
      <w:pPr>
        <w:rPr>
          <w:rFonts w:eastAsia="Calibri"/>
          <w:sz w:val="22"/>
        </w:rPr>
      </w:pPr>
    </w:p>
    <w:sectPr w:rsidR="00862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2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A587D" w14:textId="77777777" w:rsidR="003061B2" w:rsidRDefault="003061B2">
      <w:r>
        <w:separator/>
      </w:r>
    </w:p>
  </w:endnote>
  <w:endnote w:type="continuationSeparator" w:id="0">
    <w:p w14:paraId="09D4B8A1" w14:textId="77777777" w:rsidR="003061B2" w:rsidRDefault="0030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E097D" w14:textId="77777777" w:rsidR="00DF1C53" w:rsidRDefault="00DF1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8"/>
      <w:gridCol w:w="5120"/>
      <w:gridCol w:w="2077"/>
    </w:tblGrid>
    <w:tr w:rsidR="00556292" w14:paraId="6FE95AAF" w14:textId="77777777" w:rsidTr="003302C8">
      <w:trPr>
        <w:jc w:val="center"/>
      </w:trPr>
      <w:tc>
        <w:tcPr>
          <w:tcW w:w="1998" w:type="dxa"/>
          <w:shd w:val="clear" w:color="auto" w:fill="auto"/>
        </w:tcPr>
        <w:p w14:paraId="530F3975" w14:textId="77777777" w:rsidR="00556292" w:rsidRDefault="003E25BB">
          <w:pPr>
            <w:tabs>
              <w:tab w:val="center" w:pos="4680"/>
              <w:tab w:val="right" w:pos="9360"/>
            </w:tabs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Page 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Calibri" w:hAnsi="Arial" w:cs="Arial"/>
              <w:b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eastAsia="Calibri" w:hAnsi="Arial" w:cs="Arial"/>
              <w:b/>
              <w:sz w:val="16"/>
              <w:szCs w:val="16"/>
            </w:rPr>
            <w:t>6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Calibri" w:hAnsi="Arial" w:cs="Arial"/>
              <w:sz w:val="16"/>
              <w:szCs w:val="16"/>
            </w:rPr>
            <w:t xml:space="preserve"> of 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Calibri" w:hAnsi="Arial" w:cs="Arial"/>
              <w:b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eastAsia="Calibri" w:hAnsi="Arial" w:cs="Arial"/>
              <w:b/>
              <w:sz w:val="16"/>
              <w:szCs w:val="16"/>
            </w:rPr>
            <w:t>6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end"/>
          </w:r>
        </w:p>
        <w:p w14:paraId="0A1C1998" w14:textId="77777777" w:rsidR="00556292" w:rsidRDefault="00556292">
          <w:pPr>
            <w:ind w:firstLine="72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5120" w:type="dxa"/>
          <w:shd w:val="clear" w:color="auto" w:fill="auto"/>
          <w:vAlign w:val="center"/>
        </w:tcPr>
        <w:p w14:paraId="730E98C2" w14:textId="77777777" w:rsidR="00556292" w:rsidRDefault="003E25BB">
          <w:pPr>
            <w:tabs>
              <w:tab w:val="center" w:pos="4680"/>
              <w:tab w:val="right" w:pos="9360"/>
            </w:tabs>
            <w:jc w:val="center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Confidential &amp; Proprietary</w:t>
          </w:r>
        </w:p>
        <w:p w14:paraId="3B6FD67A" w14:textId="4E4D6AEB" w:rsidR="007F4D4B" w:rsidRDefault="00B34F4C">
          <w:pPr>
            <w:tabs>
              <w:tab w:val="center" w:pos="4680"/>
              <w:tab w:val="right" w:pos="9360"/>
            </w:tabs>
            <w:jc w:val="center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173 Ludlow Avenue - Northvale, NJ 07647</w:t>
          </w:r>
          <w:r w:rsidR="003E25BB">
            <w:rPr>
              <w:rFonts w:ascii="Arial" w:eastAsia="Calibri" w:hAnsi="Arial" w:cs="Arial"/>
              <w:sz w:val="16"/>
              <w:szCs w:val="16"/>
            </w:rPr>
            <w:t xml:space="preserve"> </w:t>
          </w:r>
        </w:p>
      </w:tc>
      <w:tc>
        <w:tcPr>
          <w:tcW w:w="2077" w:type="dxa"/>
          <w:shd w:val="clear" w:color="auto" w:fill="auto"/>
          <w:vAlign w:val="center"/>
        </w:tcPr>
        <w:p w14:paraId="4C83E27B" w14:textId="149CEE8C" w:rsidR="00556292" w:rsidRDefault="003E25BB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Original: </w:t>
          </w:r>
          <w:r w:rsidR="00B34F4C">
            <w:rPr>
              <w:rFonts w:ascii="Arial" w:eastAsia="Calibri" w:hAnsi="Arial" w:cs="Arial"/>
              <w:sz w:val="16"/>
              <w:szCs w:val="16"/>
            </w:rPr>
            <w:t>01/19/2021</w:t>
          </w:r>
        </w:p>
        <w:p w14:paraId="7A94728E" w14:textId="7F6415DC" w:rsidR="00556292" w:rsidRDefault="003E25BB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Revised:</w:t>
          </w:r>
          <w:r w:rsidR="001E548F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r w:rsidR="00F20BB3">
            <w:rPr>
              <w:rFonts w:ascii="Arial" w:eastAsia="Calibri" w:hAnsi="Arial" w:cs="Arial"/>
              <w:sz w:val="16"/>
              <w:szCs w:val="16"/>
            </w:rPr>
            <w:t>07/25/2024</w:t>
          </w:r>
        </w:p>
        <w:p w14:paraId="2BFBA4AD" w14:textId="06B44C60" w:rsidR="00556292" w:rsidRDefault="003E25BB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Supersedes:</w:t>
          </w:r>
          <w:r w:rsidR="0063780F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r w:rsidR="00F20BB3">
            <w:rPr>
              <w:rFonts w:ascii="Arial" w:eastAsia="Calibri" w:hAnsi="Arial" w:cs="Arial"/>
              <w:sz w:val="16"/>
              <w:szCs w:val="16"/>
            </w:rPr>
            <w:t>05/27/2024</w:t>
          </w:r>
        </w:p>
      </w:tc>
    </w:tr>
  </w:tbl>
  <w:p w14:paraId="6648E39B" w14:textId="77777777" w:rsidR="00556292" w:rsidRDefault="00556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B9B72" w14:textId="77777777" w:rsidR="00DF1C53" w:rsidRDefault="00DF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63EEC" w14:textId="77777777" w:rsidR="003061B2" w:rsidRDefault="003061B2">
      <w:r>
        <w:separator/>
      </w:r>
    </w:p>
  </w:footnote>
  <w:footnote w:type="continuationSeparator" w:id="0">
    <w:p w14:paraId="38ABE16E" w14:textId="77777777" w:rsidR="003061B2" w:rsidRDefault="00306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09BEB" w14:textId="77777777" w:rsidR="00DF1C53" w:rsidRDefault="00DF1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60"/>
      <w:gridCol w:w="1512"/>
      <w:gridCol w:w="4068"/>
      <w:gridCol w:w="1440"/>
    </w:tblGrid>
    <w:tr w:rsidR="00556292" w14:paraId="4ECA0A41" w14:textId="77777777">
      <w:trPr>
        <w:jc w:val="center"/>
      </w:trPr>
      <w:tc>
        <w:tcPr>
          <w:tcW w:w="2160" w:type="dxa"/>
          <w:vMerge w:val="restart"/>
          <w:shd w:val="clear" w:color="auto" w:fill="auto"/>
          <w:vAlign w:val="center"/>
        </w:tcPr>
        <w:p w14:paraId="2CBE0351" w14:textId="753F31EC" w:rsidR="00556292" w:rsidRDefault="00A274EE">
          <w:pPr>
            <w:pStyle w:val="Header"/>
            <w:jc w:val="center"/>
            <w:rPr>
              <w:rFonts w:ascii="Aparajita" w:hAnsi="Aparajita" w:cs="Aparajita"/>
              <w:b/>
              <w:color w:val="E36C0A" w:themeColor="accent6" w:themeShade="BF"/>
              <w:sz w:val="20"/>
            </w:rPr>
          </w:pPr>
          <w:r>
            <w:rPr>
              <w:rFonts w:ascii="Aparajita" w:hAnsi="Aparajita" w:cs="Aparajita"/>
              <w:b/>
              <w:color w:val="E36C0A" w:themeColor="accent6" w:themeShade="BF"/>
              <w:sz w:val="18"/>
            </w:rPr>
            <w:t>BERGEN BAKING, LLC.</w:t>
          </w:r>
        </w:p>
      </w:tc>
      <w:tc>
        <w:tcPr>
          <w:tcW w:w="7020" w:type="dxa"/>
          <w:gridSpan w:val="3"/>
          <w:shd w:val="clear" w:color="auto" w:fill="auto"/>
          <w:vAlign w:val="center"/>
        </w:tcPr>
        <w:p w14:paraId="10921205" w14:textId="2D0E225B" w:rsidR="00556292" w:rsidRDefault="00A274EE">
          <w:pPr>
            <w:pStyle w:val="Header"/>
            <w:jc w:val="center"/>
            <w:rPr>
              <w:rFonts w:asciiTheme="minorHAnsi" w:hAnsiTheme="minorHAnsi" w:cs="Arial"/>
              <w:b/>
            </w:rPr>
          </w:pPr>
          <w:r>
            <w:rPr>
              <w:rFonts w:asciiTheme="minorHAnsi" w:hAnsiTheme="minorHAnsi" w:cs="Arial"/>
              <w:b/>
              <w:sz w:val="28"/>
            </w:rPr>
            <w:t>Bergen Baking, LLC.</w:t>
          </w:r>
        </w:p>
      </w:tc>
    </w:tr>
    <w:tr w:rsidR="00556292" w14:paraId="4573BE41" w14:textId="77777777">
      <w:trPr>
        <w:jc w:val="center"/>
      </w:trPr>
      <w:tc>
        <w:tcPr>
          <w:tcW w:w="2160" w:type="dxa"/>
          <w:vMerge/>
          <w:shd w:val="clear" w:color="auto" w:fill="F2F2F2"/>
        </w:tcPr>
        <w:p w14:paraId="37F8418C" w14:textId="77777777" w:rsidR="00556292" w:rsidRDefault="00556292">
          <w:pPr>
            <w:pStyle w:val="Header"/>
            <w:jc w:val="center"/>
            <w:rPr>
              <w:rFonts w:ascii="Aparajita" w:hAnsi="Aparajita" w:cs="Aparajita"/>
              <w:sz w:val="18"/>
              <w:szCs w:val="18"/>
            </w:rPr>
          </w:pPr>
        </w:p>
      </w:tc>
      <w:tc>
        <w:tcPr>
          <w:tcW w:w="1512" w:type="dxa"/>
          <w:shd w:val="clear" w:color="auto" w:fill="F2F2F2"/>
          <w:vAlign w:val="center"/>
        </w:tcPr>
        <w:p w14:paraId="49F75AD8" w14:textId="77777777" w:rsidR="00556292" w:rsidRDefault="003E25BB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 #</w:t>
          </w:r>
        </w:p>
      </w:tc>
      <w:tc>
        <w:tcPr>
          <w:tcW w:w="4068" w:type="dxa"/>
          <w:shd w:val="clear" w:color="auto" w:fill="F2F2F2"/>
          <w:vAlign w:val="center"/>
        </w:tcPr>
        <w:p w14:paraId="3164F925" w14:textId="77777777" w:rsidR="00556292" w:rsidRDefault="003E25BB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Title</w:t>
          </w:r>
        </w:p>
      </w:tc>
      <w:tc>
        <w:tcPr>
          <w:tcW w:w="1440" w:type="dxa"/>
          <w:shd w:val="clear" w:color="auto" w:fill="F2F2F2"/>
          <w:vAlign w:val="center"/>
        </w:tcPr>
        <w:p w14:paraId="09B6D0C5" w14:textId="77777777" w:rsidR="00556292" w:rsidRDefault="003E25BB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Version</w:t>
          </w:r>
        </w:p>
      </w:tc>
    </w:tr>
    <w:tr w:rsidR="00556292" w14:paraId="682585A9" w14:textId="77777777">
      <w:trPr>
        <w:trHeight w:val="533"/>
        <w:jc w:val="center"/>
      </w:trPr>
      <w:tc>
        <w:tcPr>
          <w:tcW w:w="2160" w:type="dxa"/>
          <w:vMerge/>
          <w:shd w:val="clear" w:color="auto" w:fill="auto"/>
        </w:tcPr>
        <w:p w14:paraId="04568F4B" w14:textId="77777777" w:rsidR="00556292" w:rsidRDefault="00556292">
          <w:pPr>
            <w:pStyle w:val="Header"/>
            <w:jc w:val="center"/>
            <w:rPr>
              <w:rFonts w:ascii="Aparajita" w:hAnsi="Aparajita" w:cs="Aparajita"/>
              <w:sz w:val="20"/>
            </w:rPr>
          </w:pPr>
        </w:p>
      </w:tc>
      <w:tc>
        <w:tcPr>
          <w:tcW w:w="1512" w:type="dxa"/>
          <w:shd w:val="clear" w:color="auto" w:fill="auto"/>
          <w:vAlign w:val="center"/>
        </w:tcPr>
        <w:p w14:paraId="07C3F542" w14:textId="6FF8810B" w:rsidR="00556292" w:rsidRDefault="003E25BB">
          <w:pPr>
            <w:pStyle w:val="Header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18"/>
            </w:rPr>
            <w:t>FSQ-11.2.</w:t>
          </w:r>
          <w:r w:rsidR="0060628F">
            <w:rPr>
              <w:rFonts w:ascii="Arial" w:hAnsi="Arial" w:cs="Arial"/>
              <w:sz w:val="18"/>
            </w:rPr>
            <w:t>5.7</w:t>
          </w:r>
          <w:r w:rsidR="00C21F4B">
            <w:rPr>
              <w:rFonts w:ascii="Arial" w:hAnsi="Arial" w:cs="Arial"/>
              <w:sz w:val="18"/>
            </w:rPr>
            <w:t>-S</w:t>
          </w:r>
        </w:p>
      </w:tc>
      <w:tc>
        <w:tcPr>
          <w:tcW w:w="4068" w:type="dxa"/>
          <w:shd w:val="clear" w:color="auto" w:fill="auto"/>
          <w:vAlign w:val="center"/>
        </w:tcPr>
        <w:p w14:paraId="03A4A39F" w14:textId="77777777" w:rsidR="00556292" w:rsidRDefault="003E25BB">
          <w:pPr>
            <w:pStyle w:val="Header"/>
            <w:jc w:val="center"/>
            <w:rPr>
              <w:rFonts w:asciiTheme="minorHAnsi" w:hAnsiTheme="minorHAnsi" w:cs="Arial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 xml:space="preserve">Food Safety / GMP Walk Through </w:t>
          </w:r>
          <w:proofErr w:type="gramStart"/>
          <w:r>
            <w:rPr>
              <w:rFonts w:asciiTheme="minorHAnsi" w:hAnsiTheme="minorHAnsi" w:cs="Arial"/>
              <w:sz w:val="22"/>
              <w:szCs w:val="22"/>
            </w:rPr>
            <w:t>Pre Operational</w:t>
          </w:r>
          <w:proofErr w:type="gramEnd"/>
          <w:r>
            <w:rPr>
              <w:rFonts w:asciiTheme="minorHAnsi" w:hAnsiTheme="minorHAnsi" w:cs="Arial"/>
              <w:sz w:val="22"/>
              <w:szCs w:val="22"/>
            </w:rPr>
            <w:t xml:space="preserve"> Inspection Form</w:t>
          </w:r>
        </w:p>
      </w:tc>
      <w:tc>
        <w:tcPr>
          <w:tcW w:w="1440" w:type="dxa"/>
          <w:shd w:val="clear" w:color="auto" w:fill="auto"/>
          <w:vAlign w:val="center"/>
        </w:tcPr>
        <w:p w14:paraId="5E25B88B" w14:textId="05542BA9" w:rsidR="00556292" w:rsidRDefault="00DF1C53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3</w:t>
          </w:r>
        </w:p>
      </w:tc>
    </w:tr>
  </w:tbl>
  <w:p w14:paraId="02858415" w14:textId="77777777" w:rsidR="00556292" w:rsidRDefault="00556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4A2A" w14:textId="77777777" w:rsidR="00DF1C53" w:rsidRDefault="00DF1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97"/>
    <w:rsid w:val="00007279"/>
    <w:rsid w:val="00012BE1"/>
    <w:rsid w:val="00055490"/>
    <w:rsid w:val="00065A3E"/>
    <w:rsid w:val="00083A73"/>
    <w:rsid w:val="000B3117"/>
    <w:rsid w:val="000C2465"/>
    <w:rsid w:val="000D1C29"/>
    <w:rsid w:val="000D6382"/>
    <w:rsid w:val="000D6EDC"/>
    <w:rsid w:val="000F15F8"/>
    <w:rsid w:val="001022E2"/>
    <w:rsid w:val="00106CF8"/>
    <w:rsid w:val="0012480A"/>
    <w:rsid w:val="00136539"/>
    <w:rsid w:val="0015401D"/>
    <w:rsid w:val="001600F9"/>
    <w:rsid w:val="00167490"/>
    <w:rsid w:val="00171A57"/>
    <w:rsid w:val="00175E18"/>
    <w:rsid w:val="00176D95"/>
    <w:rsid w:val="001853E6"/>
    <w:rsid w:val="0018546C"/>
    <w:rsid w:val="00191D09"/>
    <w:rsid w:val="00197684"/>
    <w:rsid w:val="001A0C7A"/>
    <w:rsid w:val="001A7961"/>
    <w:rsid w:val="001C41B7"/>
    <w:rsid w:val="001D35D0"/>
    <w:rsid w:val="001E548F"/>
    <w:rsid w:val="001E6B6B"/>
    <w:rsid w:val="00200C4E"/>
    <w:rsid w:val="002050A9"/>
    <w:rsid w:val="00216C90"/>
    <w:rsid w:val="0022237C"/>
    <w:rsid w:val="002223E5"/>
    <w:rsid w:val="00223661"/>
    <w:rsid w:val="00225925"/>
    <w:rsid w:val="002332D5"/>
    <w:rsid w:val="002413AF"/>
    <w:rsid w:val="00246939"/>
    <w:rsid w:val="002752D9"/>
    <w:rsid w:val="00280F0C"/>
    <w:rsid w:val="0028412E"/>
    <w:rsid w:val="002C1B84"/>
    <w:rsid w:val="002C49D2"/>
    <w:rsid w:val="002E7F59"/>
    <w:rsid w:val="002F38C6"/>
    <w:rsid w:val="002F40A2"/>
    <w:rsid w:val="002F592A"/>
    <w:rsid w:val="00301C14"/>
    <w:rsid w:val="003061B2"/>
    <w:rsid w:val="00315005"/>
    <w:rsid w:val="00315446"/>
    <w:rsid w:val="003302C8"/>
    <w:rsid w:val="00340324"/>
    <w:rsid w:val="003476A9"/>
    <w:rsid w:val="0035778F"/>
    <w:rsid w:val="00374415"/>
    <w:rsid w:val="00375027"/>
    <w:rsid w:val="00381A8F"/>
    <w:rsid w:val="00383B23"/>
    <w:rsid w:val="00391675"/>
    <w:rsid w:val="00396E3A"/>
    <w:rsid w:val="003A232A"/>
    <w:rsid w:val="003A23B7"/>
    <w:rsid w:val="003B66F6"/>
    <w:rsid w:val="003B69E2"/>
    <w:rsid w:val="003C1CBB"/>
    <w:rsid w:val="003C6FA0"/>
    <w:rsid w:val="003E25BB"/>
    <w:rsid w:val="003E3627"/>
    <w:rsid w:val="003E611A"/>
    <w:rsid w:val="003E6905"/>
    <w:rsid w:val="003F1E4C"/>
    <w:rsid w:val="003F2E27"/>
    <w:rsid w:val="003F4660"/>
    <w:rsid w:val="0040546F"/>
    <w:rsid w:val="00421CA2"/>
    <w:rsid w:val="00424F4F"/>
    <w:rsid w:val="004258AE"/>
    <w:rsid w:val="00425ADE"/>
    <w:rsid w:val="00427486"/>
    <w:rsid w:val="00431628"/>
    <w:rsid w:val="00432B4E"/>
    <w:rsid w:val="00437CEE"/>
    <w:rsid w:val="0044233C"/>
    <w:rsid w:val="004515AF"/>
    <w:rsid w:val="0046211A"/>
    <w:rsid w:val="00465951"/>
    <w:rsid w:val="004712AE"/>
    <w:rsid w:val="004B5034"/>
    <w:rsid w:val="004B6547"/>
    <w:rsid w:val="004C08DE"/>
    <w:rsid w:val="004D66E6"/>
    <w:rsid w:val="004F310C"/>
    <w:rsid w:val="004F562B"/>
    <w:rsid w:val="00507F1D"/>
    <w:rsid w:val="005140E3"/>
    <w:rsid w:val="0052079C"/>
    <w:rsid w:val="00523F67"/>
    <w:rsid w:val="0052526E"/>
    <w:rsid w:val="00526AA6"/>
    <w:rsid w:val="00527E3E"/>
    <w:rsid w:val="00530BD9"/>
    <w:rsid w:val="00532E8E"/>
    <w:rsid w:val="005332D0"/>
    <w:rsid w:val="00533587"/>
    <w:rsid w:val="00545B02"/>
    <w:rsid w:val="00550517"/>
    <w:rsid w:val="00556292"/>
    <w:rsid w:val="0055723D"/>
    <w:rsid w:val="00570B3D"/>
    <w:rsid w:val="00577D45"/>
    <w:rsid w:val="00593BBD"/>
    <w:rsid w:val="00595CA5"/>
    <w:rsid w:val="005A45FA"/>
    <w:rsid w:val="005A654D"/>
    <w:rsid w:val="005B253F"/>
    <w:rsid w:val="005C6776"/>
    <w:rsid w:val="005D0966"/>
    <w:rsid w:val="005D6901"/>
    <w:rsid w:val="005E2EE9"/>
    <w:rsid w:val="005E54D6"/>
    <w:rsid w:val="005E62BA"/>
    <w:rsid w:val="005F166C"/>
    <w:rsid w:val="0060628F"/>
    <w:rsid w:val="00617719"/>
    <w:rsid w:val="00617796"/>
    <w:rsid w:val="00635E11"/>
    <w:rsid w:val="0063780F"/>
    <w:rsid w:val="00655498"/>
    <w:rsid w:val="006655AE"/>
    <w:rsid w:val="00674C16"/>
    <w:rsid w:val="00675B46"/>
    <w:rsid w:val="0069388F"/>
    <w:rsid w:val="006D3E31"/>
    <w:rsid w:val="006D49FC"/>
    <w:rsid w:val="006E258B"/>
    <w:rsid w:val="006E5AD2"/>
    <w:rsid w:val="006E63E9"/>
    <w:rsid w:val="006F731C"/>
    <w:rsid w:val="00711B90"/>
    <w:rsid w:val="00720A1C"/>
    <w:rsid w:val="00724BCD"/>
    <w:rsid w:val="00725F9E"/>
    <w:rsid w:val="007263A2"/>
    <w:rsid w:val="00732E3A"/>
    <w:rsid w:val="00735256"/>
    <w:rsid w:val="00741EBB"/>
    <w:rsid w:val="007422F8"/>
    <w:rsid w:val="00751EE6"/>
    <w:rsid w:val="0075225A"/>
    <w:rsid w:val="0075511D"/>
    <w:rsid w:val="007955F4"/>
    <w:rsid w:val="0079715C"/>
    <w:rsid w:val="007B53A5"/>
    <w:rsid w:val="007B68EF"/>
    <w:rsid w:val="007B7DA0"/>
    <w:rsid w:val="007E565E"/>
    <w:rsid w:val="007F1233"/>
    <w:rsid w:val="007F1D6F"/>
    <w:rsid w:val="007F4D4B"/>
    <w:rsid w:val="007F7D78"/>
    <w:rsid w:val="0081366F"/>
    <w:rsid w:val="00814ED4"/>
    <w:rsid w:val="00815EEB"/>
    <w:rsid w:val="00817C4A"/>
    <w:rsid w:val="00820097"/>
    <w:rsid w:val="0084055D"/>
    <w:rsid w:val="00845BD1"/>
    <w:rsid w:val="00846311"/>
    <w:rsid w:val="00854150"/>
    <w:rsid w:val="008625F4"/>
    <w:rsid w:val="0086475A"/>
    <w:rsid w:val="00872E2D"/>
    <w:rsid w:val="00874C2A"/>
    <w:rsid w:val="00877BA1"/>
    <w:rsid w:val="00877FDA"/>
    <w:rsid w:val="00880A13"/>
    <w:rsid w:val="008A03AD"/>
    <w:rsid w:val="008A3D68"/>
    <w:rsid w:val="008A7701"/>
    <w:rsid w:val="008B05EF"/>
    <w:rsid w:val="008B60D1"/>
    <w:rsid w:val="008B7C26"/>
    <w:rsid w:val="008D07DC"/>
    <w:rsid w:val="008D2BEA"/>
    <w:rsid w:val="008D33F2"/>
    <w:rsid w:val="008D3D87"/>
    <w:rsid w:val="008D744E"/>
    <w:rsid w:val="008E3B09"/>
    <w:rsid w:val="008E3EA8"/>
    <w:rsid w:val="008E4ACD"/>
    <w:rsid w:val="008F7FE9"/>
    <w:rsid w:val="00904887"/>
    <w:rsid w:val="0091123F"/>
    <w:rsid w:val="00930AFF"/>
    <w:rsid w:val="00932450"/>
    <w:rsid w:val="00935B06"/>
    <w:rsid w:val="00942458"/>
    <w:rsid w:val="009475CD"/>
    <w:rsid w:val="00947CE6"/>
    <w:rsid w:val="009576A7"/>
    <w:rsid w:val="00964CF2"/>
    <w:rsid w:val="00983A78"/>
    <w:rsid w:val="009905A8"/>
    <w:rsid w:val="00995D28"/>
    <w:rsid w:val="009A2D5E"/>
    <w:rsid w:val="009A3D60"/>
    <w:rsid w:val="009A7B26"/>
    <w:rsid w:val="009B179A"/>
    <w:rsid w:val="009B2CBF"/>
    <w:rsid w:val="009C29E1"/>
    <w:rsid w:val="009C37A8"/>
    <w:rsid w:val="009C5C43"/>
    <w:rsid w:val="009C630A"/>
    <w:rsid w:val="009C66A4"/>
    <w:rsid w:val="009D7FE1"/>
    <w:rsid w:val="009F3694"/>
    <w:rsid w:val="009F3E06"/>
    <w:rsid w:val="009F6E5E"/>
    <w:rsid w:val="00A01C8D"/>
    <w:rsid w:val="00A073D9"/>
    <w:rsid w:val="00A136CB"/>
    <w:rsid w:val="00A13F21"/>
    <w:rsid w:val="00A212E3"/>
    <w:rsid w:val="00A24AF4"/>
    <w:rsid w:val="00A274EE"/>
    <w:rsid w:val="00A55406"/>
    <w:rsid w:val="00A815F0"/>
    <w:rsid w:val="00AA19DE"/>
    <w:rsid w:val="00AA3FB8"/>
    <w:rsid w:val="00AB5FA8"/>
    <w:rsid w:val="00AC05C2"/>
    <w:rsid w:val="00AD098C"/>
    <w:rsid w:val="00AD15AB"/>
    <w:rsid w:val="00AE4857"/>
    <w:rsid w:val="00AE53B1"/>
    <w:rsid w:val="00AF3108"/>
    <w:rsid w:val="00B01CFE"/>
    <w:rsid w:val="00B04FCE"/>
    <w:rsid w:val="00B07852"/>
    <w:rsid w:val="00B152ED"/>
    <w:rsid w:val="00B3101A"/>
    <w:rsid w:val="00B34F4C"/>
    <w:rsid w:val="00B41184"/>
    <w:rsid w:val="00B4501A"/>
    <w:rsid w:val="00B452B5"/>
    <w:rsid w:val="00B45F88"/>
    <w:rsid w:val="00B51B5D"/>
    <w:rsid w:val="00B75EFB"/>
    <w:rsid w:val="00B8081B"/>
    <w:rsid w:val="00B818A8"/>
    <w:rsid w:val="00B82538"/>
    <w:rsid w:val="00BA6A2E"/>
    <w:rsid w:val="00BB6A9C"/>
    <w:rsid w:val="00BC56C3"/>
    <w:rsid w:val="00BC72FC"/>
    <w:rsid w:val="00BF0102"/>
    <w:rsid w:val="00BF3BC6"/>
    <w:rsid w:val="00C01E35"/>
    <w:rsid w:val="00C12B62"/>
    <w:rsid w:val="00C17727"/>
    <w:rsid w:val="00C21F4B"/>
    <w:rsid w:val="00C44B4D"/>
    <w:rsid w:val="00C657D5"/>
    <w:rsid w:val="00C65E20"/>
    <w:rsid w:val="00C73BC0"/>
    <w:rsid w:val="00C744E0"/>
    <w:rsid w:val="00CB0925"/>
    <w:rsid w:val="00CB4DFD"/>
    <w:rsid w:val="00CB5988"/>
    <w:rsid w:val="00CC06BF"/>
    <w:rsid w:val="00CC0E23"/>
    <w:rsid w:val="00CD4970"/>
    <w:rsid w:val="00CE3CB6"/>
    <w:rsid w:val="00CE7D33"/>
    <w:rsid w:val="00CF1354"/>
    <w:rsid w:val="00D02D76"/>
    <w:rsid w:val="00D1065E"/>
    <w:rsid w:val="00D217A2"/>
    <w:rsid w:val="00D35566"/>
    <w:rsid w:val="00D36B30"/>
    <w:rsid w:val="00D42EA7"/>
    <w:rsid w:val="00D53675"/>
    <w:rsid w:val="00D5491A"/>
    <w:rsid w:val="00D61C5C"/>
    <w:rsid w:val="00D71F62"/>
    <w:rsid w:val="00D803AE"/>
    <w:rsid w:val="00D91598"/>
    <w:rsid w:val="00D9198E"/>
    <w:rsid w:val="00D93210"/>
    <w:rsid w:val="00D94254"/>
    <w:rsid w:val="00DB49E2"/>
    <w:rsid w:val="00DD5936"/>
    <w:rsid w:val="00DE1691"/>
    <w:rsid w:val="00DE2E4D"/>
    <w:rsid w:val="00DF1C53"/>
    <w:rsid w:val="00E004AF"/>
    <w:rsid w:val="00E154D2"/>
    <w:rsid w:val="00E204B8"/>
    <w:rsid w:val="00E33F26"/>
    <w:rsid w:val="00E41D46"/>
    <w:rsid w:val="00E54660"/>
    <w:rsid w:val="00E67B71"/>
    <w:rsid w:val="00E7153B"/>
    <w:rsid w:val="00E760D0"/>
    <w:rsid w:val="00E81FCB"/>
    <w:rsid w:val="00E84682"/>
    <w:rsid w:val="00E87D3D"/>
    <w:rsid w:val="00EA22E4"/>
    <w:rsid w:val="00EA25E2"/>
    <w:rsid w:val="00EA3178"/>
    <w:rsid w:val="00EA602F"/>
    <w:rsid w:val="00EA6FC0"/>
    <w:rsid w:val="00EB0E2C"/>
    <w:rsid w:val="00EB4403"/>
    <w:rsid w:val="00EC5934"/>
    <w:rsid w:val="00EC79D5"/>
    <w:rsid w:val="00EF3A43"/>
    <w:rsid w:val="00EF4DC6"/>
    <w:rsid w:val="00F20BB3"/>
    <w:rsid w:val="00F25ADB"/>
    <w:rsid w:val="00F25BE9"/>
    <w:rsid w:val="00F34A42"/>
    <w:rsid w:val="00F7042F"/>
    <w:rsid w:val="00F70981"/>
    <w:rsid w:val="00F734F5"/>
    <w:rsid w:val="00FA1FC6"/>
    <w:rsid w:val="00FA30E7"/>
    <w:rsid w:val="00FC10A2"/>
    <w:rsid w:val="00FD6D97"/>
    <w:rsid w:val="00FE63AC"/>
    <w:rsid w:val="192F734F"/>
    <w:rsid w:val="2DAD4F59"/>
    <w:rsid w:val="2F8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6CA59"/>
  <w15:docId w15:val="{1B309F54-9829-486A-B2A1-E461626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table" w:customStyle="1" w:styleId="TableGrid1">
    <w:name w:val="Table Grid1"/>
    <w:basedOn w:val="TableNormal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29FCA03-A72B-4FB0-8006-EC55FB0D2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 September 2009</vt:lpstr>
    </vt:vector>
  </TitlesOfParts>
  <Company>American Almond Products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September 2009</dc:title>
  <dc:creator>CFS</dc:creator>
  <cp:lastModifiedBy>miryan flores</cp:lastModifiedBy>
  <cp:revision>138</cp:revision>
  <cp:lastPrinted>2024-07-25T17:46:00Z</cp:lastPrinted>
  <dcterms:created xsi:type="dcterms:W3CDTF">2022-05-17T12:42:00Z</dcterms:created>
  <dcterms:modified xsi:type="dcterms:W3CDTF">2024-07-25T18:12:00Z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