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FB795CA" w:rsidR="00482D99" w:rsidRDefault="00482D99" w:rsidP="00896024">
      <w:pPr>
        <w:pStyle w:val="EstiloPortadaArialNegritaColorpersonalizadoRGB36"/>
      </w:pPr>
      <w:r>
        <w:t xml:space="preserve">Proyecto: </w:t>
      </w:r>
      <w:proofErr w:type="spellStart"/>
      <w:r w:rsidR="00477287">
        <w:t>Smacar</w:t>
      </w:r>
      <w:proofErr w:type="spellEnd"/>
    </w:p>
    <w:p w14:paraId="64DC27F3" w14:textId="5D1D0DF9" w:rsidR="00482D99" w:rsidRDefault="00482D99">
      <w:pPr>
        <w:pStyle w:val="Lista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2"/>
        <w:gridCol w:w="797"/>
        <w:gridCol w:w="2895"/>
      </w:tblGrid>
      <w:tr w:rsidR="00482D99" w14:paraId="26A97481" w14:textId="77777777" w:rsidTr="51196D15">
        <w:tc>
          <w:tcPr>
            <w:tcW w:w="2125" w:type="dxa"/>
            <w:vAlign w:val="center"/>
          </w:tcPr>
          <w:p w14:paraId="1EA44FE5" w14:textId="168EAC79" w:rsidR="00482D99" w:rsidRPr="00393AF2" w:rsidRDefault="00482D99" w:rsidP="00393AF2">
            <w:pPr>
              <w:jc w:val="center"/>
            </w:pPr>
            <w:r>
              <w:lastRenderedPageBreak/>
              <w:br/>
            </w:r>
            <w:r w:rsidR="005E2448">
              <w:rPr>
                <w:noProof/>
              </w:rPr>
              <w:drawing>
                <wp:inline distT="0" distB="0" distL="0" distR="0" wp14:anchorId="2AB13D45" wp14:editId="68AB815D">
                  <wp:extent cx="1066800" cy="53340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533400"/>
                          </a:xfrm>
                          <a:prstGeom prst="rect">
                            <a:avLst/>
                          </a:prstGeom>
                          <a:noFill/>
                          <a:ln>
                            <a:noFill/>
                          </a:ln>
                        </pic:spPr>
                      </pic:pic>
                    </a:graphicData>
                  </a:graphic>
                </wp:inline>
              </w:drawing>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5EC7C764" w:rsidR="00482D99" w:rsidRDefault="001F7E5F" w:rsidP="00393AF2">
            <w:pPr>
              <w:jc w:val="right"/>
              <w:rPr>
                <w:rFonts w:cs="Arial"/>
                <w:color w:val="241A61"/>
                <w:sz w:val="18"/>
              </w:rPr>
            </w:pPr>
            <w:r>
              <w:rPr>
                <w:rFonts w:cs="Arial"/>
                <w:color w:val="241A61"/>
                <w:sz w:val="18"/>
              </w:rPr>
              <w:t>Mayo</w:t>
            </w:r>
          </w:p>
        </w:tc>
      </w:tr>
    </w:tbl>
    <w:p w14:paraId="4DE743A4" w14:textId="77777777" w:rsidR="00482D99" w:rsidRDefault="00482D99">
      <w:pPr>
        <w:pStyle w:val="Textoindependiente"/>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1909B0" w:rsidRPr="00541BAB" w14:paraId="23B6184F" w14:textId="77777777" w:rsidTr="70F909B9">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rsidTr="70F909B9">
        <w:trPr>
          <w:trHeight w:val="1134"/>
        </w:trPr>
        <w:tc>
          <w:tcPr>
            <w:tcW w:w="1188" w:type="dxa"/>
            <w:shd w:val="clear" w:color="auto" w:fill="auto"/>
            <w:vAlign w:val="center"/>
          </w:tcPr>
          <w:p w14:paraId="1BCF58A8"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shd w:val="clear" w:color="auto" w:fill="auto"/>
            <w:vAlign w:val="center"/>
          </w:tcPr>
          <w:p w14:paraId="7C88E338" w14:textId="32B0B669" w:rsidR="00541BAB" w:rsidRDefault="13D93B97" w:rsidP="70F909B9">
            <w:pPr>
              <w:spacing w:line="259" w:lineRule="auto"/>
            </w:pPr>
            <w:r>
              <w:t>1</w:t>
            </w:r>
            <w:r w:rsidR="00541BAB">
              <w:fldChar w:fldCharType="begin"/>
            </w:r>
            <w:r w:rsidR="00541BAB">
              <w:instrText>MACROBUTTON NoMacro [</w:instrText>
            </w:r>
            <w:r w:rsidR="00541BAB" w:rsidRPr="70F909B9">
              <w:rPr>
                <w:color w:val="0000FF"/>
              </w:rPr>
              <w:instrText>Rev</w:instrText>
            </w:r>
            <w:r w:rsidR="00541BAB">
              <w:instrText>]</w:instrText>
            </w:r>
            <w:r w:rsidR="00541BAB">
              <w:fldChar w:fldCharType="end"/>
            </w:r>
          </w:p>
        </w:tc>
        <w:tc>
          <w:tcPr>
            <w:tcW w:w="3060" w:type="dxa"/>
            <w:shd w:val="clear" w:color="auto" w:fill="auto"/>
            <w:vAlign w:val="center"/>
          </w:tcPr>
          <w:p w14:paraId="2A81D26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Encabezado"/>
        <w:tabs>
          <w:tab w:val="clear" w:pos="4252"/>
          <w:tab w:val="clear" w:pos="8504"/>
        </w:tabs>
        <w:rPr>
          <w:rFonts w:cs="Arial"/>
          <w:lang w:val="fr-FR"/>
        </w:rPr>
      </w:pPr>
    </w:p>
    <w:p w14:paraId="5FDBFA8C" w14:textId="77777777" w:rsidR="00541BAB" w:rsidRDefault="00541BAB">
      <w:pPr>
        <w:pStyle w:val="Encabezado"/>
        <w:tabs>
          <w:tab w:val="clear" w:pos="4252"/>
          <w:tab w:val="clear" w:pos="8504"/>
        </w:tabs>
        <w:rPr>
          <w:rFonts w:cs="Arial"/>
          <w:lang w:val="fr-FR"/>
        </w:rPr>
      </w:pPr>
    </w:p>
    <w:p w14:paraId="1527A8B9" w14:textId="77777777" w:rsidR="00541BAB" w:rsidRDefault="00541BAB">
      <w:pPr>
        <w:pStyle w:val="Encabezado"/>
        <w:tabs>
          <w:tab w:val="clear" w:pos="4252"/>
          <w:tab w:val="clear" w:pos="8504"/>
        </w:tabs>
        <w:rPr>
          <w:rFonts w:cs="Arial"/>
          <w:lang w:val="fr-FR"/>
        </w:rPr>
      </w:pPr>
    </w:p>
    <w:p w14:paraId="2D808F35" w14:textId="77777777" w:rsidR="00541BAB" w:rsidRDefault="00541BAB">
      <w:pPr>
        <w:pStyle w:val="Encabezado"/>
        <w:tabs>
          <w:tab w:val="clear" w:pos="4252"/>
          <w:tab w:val="clear" w:pos="8504"/>
        </w:tabs>
        <w:rPr>
          <w:rFonts w:cs="Arial"/>
          <w:lang w:val="fr-FR"/>
        </w:rPr>
      </w:pPr>
    </w:p>
    <w:p w14:paraId="3802C177" w14:textId="77777777" w:rsidR="00541BAB" w:rsidRDefault="00541BAB">
      <w:pPr>
        <w:pStyle w:val="Encabezado"/>
        <w:tabs>
          <w:tab w:val="clear" w:pos="4252"/>
          <w:tab w:val="clear" w:pos="8504"/>
        </w:tabs>
        <w:rPr>
          <w:rFonts w:cs="Arial"/>
          <w:lang w:val="fr-FR"/>
        </w:rPr>
      </w:pPr>
    </w:p>
    <w:p w14:paraId="5CC4CA92" w14:textId="77777777" w:rsidR="00541BAB" w:rsidRDefault="00541BAB">
      <w:pPr>
        <w:pStyle w:val="Encabezado"/>
        <w:tabs>
          <w:tab w:val="clear" w:pos="4252"/>
          <w:tab w:val="clear" w:pos="8504"/>
        </w:tabs>
        <w:rPr>
          <w:rFonts w:cs="Arial"/>
          <w:lang w:val="fr-FR"/>
        </w:rPr>
      </w:pPr>
    </w:p>
    <w:p w14:paraId="049C22CD" w14:textId="77777777" w:rsidR="00541BAB" w:rsidRDefault="00541BAB">
      <w:pPr>
        <w:pStyle w:val="Encabezado"/>
        <w:tabs>
          <w:tab w:val="clear" w:pos="4252"/>
          <w:tab w:val="clear" w:pos="8504"/>
        </w:tabs>
        <w:rPr>
          <w:rFonts w:cs="Arial"/>
          <w:lang w:val="fr-FR"/>
        </w:rPr>
      </w:pPr>
    </w:p>
    <w:p w14:paraId="74EFCB31" w14:textId="77777777" w:rsidR="00541BAB" w:rsidRDefault="00541BAB">
      <w:pPr>
        <w:pStyle w:val="Encabezado"/>
        <w:tabs>
          <w:tab w:val="clear" w:pos="4252"/>
          <w:tab w:val="clear" w:pos="8504"/>
        </w:tabs>
        <w:rPr>
          <w:rFonts w:cs="Arial"/>
          <w:lang w:val="fr-FR"/>
        </w:rPr>
      </w:pPr>
    </w:p>
    <w:p w14:paraId="2E5303E6" w14:textId="77777777" w:rsidR="00126F76" w:rsidRDefault="00126F76">
      <w:pPr>
        <w:pStyle w:val="Encabezado"/>
        <w:tabs>
          <w:tab w:val="clear" w:pos="4252"/>
          <w:tab w:val="clear" w:pos="8504"/>
        </w:tabs>
        <w:rPr>
          <w:rFonts w:cs="Arial"/>
          <w:lang w:val="fr-FR"/>
        </w:rPr>
      </w:pPr>
    </w:p>
    <w:p w14:paraId="41C95403" w14:textId="77777777" w:rsidR="00126F76" w:rsidRDefault="00126F76">
      <w:pPr>
        <w:pStyle w:val="Encabezado"/>
        <w:tabs>
          <w:tab w:val="clear" w:pos="4252"/>
          <w:tab w:val="clear" w:pos="8504"/>
        </w:tabs>
        <w:rPr>
          <w:rFonts w:cs="Arial"/>
          <w:lang w:val="fr-FR"/>
        </w:rPr>
      </w:pPr>
    </w:p>
    <w:p w14:paraId="63A8DF8A" w14:textId="77777777" w:rsidR="00126F76" w:rsidRDefault="00126F76">
      <w:pPr>
        <w:pStyle w:val="Encabezado"/>
        <w:tabs>
          <w:tab w:val="clear" w:pos="4252"/>
          <w:tab w:val="clear" w:pos="8504"/>
        </w:tabs>
        <w:rPr>
          <w:rFonts w:cs="Arial"/>
          <w:lang w:val="fr-FR"/>
        </w:rPr>
      </w:pPr>
    </w:p>
    <w:p w14:paraId="609492EA" w14:textId="77777777" w:rsidR="00126F76" w:rsidRDefault="00126F76">
      <w:pPr>
        <w:pStyle w:val="Encabezado"/>
        <w:tabs>
          <w:tab w:val="clear" w:pos="4252"/>
          <w:tab w:val="clear" w:pos="8504"/>
        </w:tabs>
        <w:rPr>
          <w:rFonts w:cs="Arial"/>
          <w:lang w:val="fr-FR"/>
        </w:rPr>
      </w:pPr>
    </w:p>
    <w:p w14:paraId="3ED4F66C" w14:textId="77777777" w:rsidR="00126F76" w:rsidRDefault="00126F76">
      <w:pPr>
        <w:pStyle w:val="Encabezado"/>
        <w:tabs>
          <w:tab w:val="clear" w:pos="4252"/>
          <w:tab w:val="clear" w:pos="8504"/>
        </w:tabs>
        <w:rPr>
          <w:rFonts w:cs="Arial"/>
          <w:lang w:val="fr-FR"/>
        </w:rPr>
      </w:pPr>
    </w:p>
    <w:p w14:paraId="0AFE57CB"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14:paraId="61337AEF" w14:textId="77777777">
        <w:trPr>
          <w:jc w:val="center"/>
        </w:trPr>
        <w:tc>
          <w:tcPr>
            <w:tcW w:w="4322" w:type="dxa"/>
            <w:shd w:val="clear" w:color="auto" w:fill="auto"/>
          </w:tcPr>
          <w:p w14:paraId="2FBD2019" w14:textId="77777777" w:rsidR="00126F76" w:rsidRDefault="00126F76">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Encabezado"/>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Encabezado"/>
              <w:tabs>
                <w:tab w:val="clear" w:pos="4252"/>
                <w:tab w:val="clear" w:pos="8504"/>
              </w:tabs>
              <w:rPr>
                <w:rFonts w:cs="Arial"/>
                <w:lang w:val="fr-FR"/>
              </w:rPr>
            </w:pPr>
          </w:p>
          <w:p w14:paraId="069FB2A8" w14:textId="77777777" w:rsidR="00126F76" w:rsidRDefault="00126F76">
            <w:pPr>
              <w:pStyle w:val="Encabezado"/>
              <w:tabs>
                <w:tab w:val="clear" w:pos="4252"/>
                <w:tab w:val="clear" w:pos="8504"/>
              </w:tabs>
              <w:rPr>
                <w:rFonts w:cs="Arial"/>
                <w:lang w:val="fr-FR"/>
              </w:rPr>
            </w:pPr>
          </w:p>
          <w:p w14:paraId="3795809E" w14:textId="77777777" w:rsidR="00126F76" w:rsidRDefault="00126F76">
            <w:pPr>
              <w:pStyle w:val="Encabezado"/>
              <w:tabs>
                <w:tab w:val="clear" w:pos="4252"/>
                <w:tab w:val="clear" w:pos="8504"/>
              </w:tabs>
              <w:rPr>
                <w:rFonts w:cs="Arial"/>
                <w:lang w:val="fr-FR"/>
              </w:rPr>
            </w:pPr>
          </w:p>
          <w:p w14:paraId="7D73FFF7" w14:textId="77777777" w:rsidR="00126F76" w:rsidRDefault="00126F76">
            <w:pPr>
              <w:pStyle w:val="Encabezado"/>
              <w:tabs>
                <w:tab w:val="clear" w:pos="4252"/>
                <w:tab w:val="clear" w:pos="8504"/>
              </w:tabs>
              <w:rPr>
                <w:rFonts w:cs="Arial"/>
                <w:lang w:val="fr-FR"/>
              </w:rPr>
            </w:pPr>
          </w:p>
          <w:p w14:paraId="662FAD60" w14:textId="77777777" w:rsidR="00541BAB" w:rsidRDefault="00541BAB">
            <w:pPr>
              <w:pStyle w:val="Encabezado"/>
              <w:tabs>
                <w:tab w:val="clear" w:pos="4252"/>
                <w:tab w:val="clear" w:pos="8504"/>
              </w:tabs>
              <w:rPr>
                <w:rFonts w:cs="Arial"/>
                <w:lang w:val="fr-FR"/>
              </w:rPr>
            </w:pPr>
          </w:p>
          <w:p w14:paraId="4E1B2573" w14:textId="77777777" w:rsidR="00126F76" w:rsidRDefault="00126F76">
            <w:pPr>
              <w:pStyle w:val="Encabezado"/>
              <w:tabs>
                <w:tab w:val="clear" w:pos="4252"/>
                <w:tab w:val="clear" w:pos="8504"/>
              </w:tabs>
              <w:rPr>
                <w:rFonts w:cs="Arial"/>
                <w:lang w:val="fr-FR"/>
              </w:rPr>
            </w:pPr>
          </w:p>
          <w:p w14:paraId="027883FF" w14:textId="77777777" w:rsidR="00126F76" w:rsidRDefault="00126F76">
            <w:pPr>
              <w:pStyle w:val="Encabezado"/>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Encabezado"/>
        <w:tabs>
          <w:tab w:val="clear" w:pos="4252"/>
          <w:tab w:val="clear" w:pos="8504"/>
        </w:tabs>
        <w:rPr>
          <w:rFonts w:cs="Arial"/>
        </w:rPr>
      </w:pPr>
    </w:p>
    <w:p w14:paraId="4FBF5663" w14:textId="77777777" w:rsidR="00126F76" w:rsidRPr="00126F76" w:rsidRDefault="00126F76">
      <w:pPr>
        <w:pStyle w:val="Encabezado"/>
        <w:tabs>
          <w:tab w:val="clear" w:pos="4252"/>
          <w:tab w:val="clear" w:pos="8504"/>
        </w:tabs>
        <w:rPr>
          <w:rFonts w:cs="Arial"/>
        </w:rPr>
      </w:pPr>
    </w:p>
    <w:p w14:paraId="7A62063A" w14:textId="77777777" w:rsidR="00126F76" w:rsidRPr="00126F76" w:rsidRDefault="00126F76">
      <w:pPr>
        <w:pStyle w:val="Encabezado"/>
        <w:tabs>
          <w:tab w:val="clear" w:pos="4252"/>
          <w:tab w:val="clear" w:pos="8504"/>
        </w:tabs>
        <w:rPr>
          <w:rFonts w:cs="Arial"/>
        </w:rPr>
      </w:pPr>
    </w:p>
    <w:p w14:paraId="1D95DF5A" w14:textId="77777777" w:rsidR="00482D99" w:rsidRDefault="00482D99">
      <w:pPr>
        <w:pStyle w:val="Encabezado"/>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Ttulo1"/>
      </w:pPr>
      <w:bookmarkStart w:id="4" w:name="_Toc33238232"/>
      <w:bookmarkStart w:id="5" w:name="_Toc33411059"/>
      <w:r>
        <w:br w:type="page"/>
      </w:r>
      <w:r>
        <w:lastRenderedPageBreak/>
        <w:t>Introducción</w:t>
      </w:r>
      <w:bookmarkEnd w:id="4"/>
      <w:bookmarkEnd w:id="5"/>
    </w:p>
    <w:p w14:paraId="0FB9F7C1" w14:textId="77777777" w:rsidR="00F14C78" w:rsidRPr="00F14C78" w:rsidRDefault="00F14C78" w:rsidP="00F14C78">
      <w:pPr>
        <w:spacing w:before="100" w:beforeAutospacing="1" w:after="100" w:afterAutospacing="1"/>
        <w:rPr>
          <w:rFonts w:cs="Arial"/>
          <w:szCs w:val="20"/>
        </w:rPr>
      </w:pPr>
      <w:r w:rsidRPr="00F14C78">
        <w:rPr>
          <w:rFonts w:cs="Arial"/>
          <w:szCs w:val="20"/>
        </w:rPr>
        <w:t xml:space="preserve">El acceso a agua segura en comunidades rurales representa un desafío persistente en muchas regiones del mundo, debido a la ausencia de sistemas de monitoreo confiables, infraestructura limitada y falta de información en tiempo real sobre la calidad del recurso hídrico. En respuesta a esta problemática, se desarrolla </w:t>
      </w:r>
      <w:r w:rsidRPr="00F14C78">
        <w:rPr>
          <w:rFonts w:cs="Arial"/>
          <w:b/>
          <w:bCs/>
          <w:szCs w:val="20"/>
        </w:rPr>
        <w:t>SMACAR</w:t>
      </w:r>
      <w:r w:rsidRPr="00F14C78">
        <w:rPr>
          <w:rFonts w:cs="Arial"/>
          <w:szCs w:val="20"/>
        </w:rPr>
        <w:t>, un sistema inteligente diseñado para medir y reportar continuamente parámetros clave de calidad del agua como pH, conductividad y sólidos disueltos totales (TDS), mediante sensores integrados en una unidad autónoma, robusta y de bajo consumo energético.</w:t>
      </w:r>
    </w:p>
    <w:p w14:paraId="6C625E7C" w14:textId="77777777" w:rsidR="00F14C78" w:rsidRPr="00F14C78" w:rsidRDefault="00F14C78" w:rsidP="00F14C78">
      <w:pPr>
        <w:spacing w:before="100" w:beforeAutospacing="1" w:after="100" w:afterAutospacing="1"/>
        <w:rPr>
          <w:rFonts w:cs="Arial"/>
          <w:szCs w:val="20"/>
        </w:rPr>
      </w:pPr>
      <w:r w:rsidRPr="00F14C78">
        <w:rPr>
          <w:rFonts w:cs="Arial"/>
          <w:szCs w:val="20"/>
        </w:rPr>
        <w:t xml:space="preserve">SMACAR combina tecnologías de </w:t>
      </w:r>
      <w:proofErr w:type="spellStart"/>
      <w:r w:rsidRPr="00F14C78">
        <w:rPr>
          <w:rFonts w:cs="Arial"/>
          <w:szCs w:val="20"/>
        </w:rPr>
        <w:t>sensado</w:t>
      </w:r>
      <w:proofErr w:type="spellEnd"/>
      <w:r w:rsidRPr="00F14C78">
        <w:rPr>
          <w:rFonts w:cs="Arial"/>
          <w:szCs w:val="20"/>
        </w:rPr>
        <w:t xml:space="preserve">, comunicación inalámbrica mediante </w:t>
      </w:r>
      <w:proofErr w:type="spellStart"/>
      <w:r w:rsidRPr="00F14C78">
        <w:rPr>
          <w:rFonts w:cs="Arial"/>
          <w:szCs w:val="20"/>
        </w:rPr>
        <w:t>LoRa</w:t>
      </w:r>
      <w:proofErr w:type="spellEnd"/>
      <w:r w:rsidRPr="00F14C78">
        <w:rPr>
          <w:rFonts w:cs="Arial"/>
          <w:szCs w:val="20"/>
        </w:rPr>
        <w:t>, visualización en plataformas móviles/web y una arquitectura energética autosuficiente basada en paneles solares. Fue concebido para su implementación en entornos sin cobertura de Internet, como ríos, lagunas y fuentes de agua rurales, permitiendo emitir alertas tempranas y generar datos históricos útiles para la toma de decisiones por parte de autoridades locales, instituciones de salud pública y comunidades organizadas.</w:t>
      </w:r>
    </w:p>
    <w:p w14:paraId="38EC169B" w14:textId="202539C2" w:rsidR="00F14C78" w:rsidRPr="00F14C78" w:rsidRDefault="00F14C78" w:rsidP="00F14C78">
      <w:pPr>
        <w:spacing w:before="100" w:beforeAutospacing="1" w:after="100" w:afterAutospacing="1"/>
        <w:rPr>
          <w:rFonts w:cs="Arial"/>
          <w:szCs w:val="20"/>
        </w:rPr>
      </w:pPr>
      <w:r w:rsidRPr="00F14C78">
        <w:rPr>
          <w:rFonts w:cs="Arial"/>
          <w:szCs w:val="20"/>
        </w:rPr>
        <w:t>El sistema ha sido validado en campo en diversas regiones de la República Dominicana, demostrando una reducción significativa en los reportes de contaminación hídrica y consolidando su potencial como herramienta escalable en estrategias nacionales de gestión del agua.</w:t>
      </w:r>
    </w:p>
    <w:p w14:paraId="4DD10D30" w14:textId="77777777" w:rsidR="00482D99" w:rsidRDefault="00482D99" w:rsidP="00120057">
      <w:pPr>
        <w:pStyle w:val="Ttulo2"/>
      </w:pPr>
      <w:bookmarkStart w:id="6" w:name="_Toc33411060"/>
      <w:r>
        <w:t>Propósito</w:t>
      </w:r>
      <w:bookmarkEnd w:id="6"/>
    </w:p>
    <w:p w14:paraId="34C8CAB5" w14:textId="77777777" w:rsidR="006301E1" w:rsidRPr="00C36845" w:rsidRDefault="006301E1" w:rsidP="00C36845">
      <w:r w:rsidRPr="00C36845">
        <w:t>El propósito de este documento es establecer los requisitos funcionales y no funcionales del sistema SMACAR, con el fin de garantizar una solución precisa, confiable y autónoma para el monitoreo ambiental del recurso hídrico en zonas rurales.</w:t>
      </w:r>
    </w:p>
    <w:p w14:paraId="16153EF9" w14:textId="77777777" w:rsidR="006301E1" w:rsidRPr="00C36845" w:rsidRDefault="006301E1" w:rsidP="00C36845"/>
    <w:p w14:paraId="481D994B" w14:textId="77777777" w:rsidR="006301E1" w:rsidRPr="00C36845" w:rsidRDefault="006301E1" w:rsidP="00C36845">
      <w:pPr>
        <w:rPr>
          <w:b/>
          <w:bCs/>
        </w:rPr>
      </w:pPr>
      <w:r w:rsidRPr="00C36845">
        <w:rPr>
          <w:b/>
          <w:bCs/>
        </w:rPr>
        <w:t>Audiencia objetivo:</w:t>
      </w:r>
    </w:p>
    <w:p w14:paraId="483F8742" w14:textId="77777777" w:rsidR="006301E1" w:rsidRPr="00C36845" w:rsidRDefault="006301E1" w:rsidP="00C36845"/>
    <w:p w14:paraId="328EACFC" w14:textId="2AC6DA15" w:rsidR="006301E1" w:rsidRDefault="006301E1" w:rsidP="00C36845">
      <w:r w:rsidRPr="00C36845">
        <w:t>Este documento está dirigido principalmente a:</w:t>
      </w:r>
    </w:p>
    <w:p w14:paraId="13A275EC" w14:textId="77777777" w:rsidR="00C36845" w:rsidRPr="00C36845" w:rsidRDefault="00C36845" w:rsidP="00C36845"/>
    <w:p w14:paraId="5A9CDED5" w14:textId="508D1F95" w:rsidR="006301E1" w:rsidRPr="00C36845" w:rsidRDefault="00F14C78" w:rsidP="00C36845">
      <w:r>
        <w:t>-</w:t>
      </w:r>
      <w:r w:rsidR="006301E1" w:rsidRPr="00C36845">
        <w:t>Ingenieros de hardware y software involucrados en el desarrollo del sistema.</w:t>
      </w:r>
    </w:p>
    <w:p w14:paraId="6AD0D7AE" w14:textId="77777777" w:rsidR="00C36845" w:rsidRDefault="00C36845" w:rsidP="00C36845"/>
    <w:p w14:paraId="3B55BF16" w14:textId="51017730" w:rsidR="006301E1" w:rsidRPr="00C36845" w:rsidRDefault="00F14C78" w:rsidP="00C36845">
      <w:r>
        <w:t>-</w:t>
      </w:r>
      <w:r w:rsidR="006301E1" w:rsidRPr="00C36845">
        <w:t>Entidades gubernamentales y organizaciones no gubernamentales interesadas en el monitoreo ambiental.</w:t>
      </w:r>
    </w:p>
    <w:p w14:paraId="33B6D6DC" w14:textId="6239AC84" w:rsidR="00C36845" w:rsidRDefault="00C36845" w:rsidP="00C36845"/>
    <w:p w14:paraId="3BFAB840" w14:textId="599C3146" w:rsidR="006301E1" w:rsidRPr="00C36845" w:rsidRDefault="00F14C78" w:rsidP="00C36845">
      <w:r>
        <w:t>-</w:t>
      </w:r>
      <w:r w:rsidR="006301E1" w:rsidRPr="00C36845">
        <w:t>Personal técnico encargado del despliegue, mantenimiento y operación del sistema.</w:t>
      </w:r>
    </w:p>
    <w:p w14:paraId="1C7B304A" w14:textId="77777777" w:rsidR="006301E1" w:rsidRPr="00C36845" w:rsidRDefault="006301E1" w:rsidP="00C36845"/>
    <w:p w14:paraId="687CD3E7" w14:textId="581B24CB" w:rsidR="006301E1" w:rsidRDefault="00F14C78" w:rsidP="00C36845">
      <w:r>
        <w:t>-</w:t>
      </w:r>
      <w:r w:rsidR="006301E1" w:rsidRPr="00C36845">
        <w:t>Patrocinadores, evaluadores académicos y científicos involucrados en el análisis de impacto y escalabilidad del sistema.</w:t>
      </w:r>
    </w:p>
    <w:p w14:paraId="7952DD48" w14:textId="77777777" w:rsidR="00F14C78" w:rsidRDefault="00F14C78" w:rsidP="00C36845"/>
    <w:p w14:paraId="4B9A91B0" w14:textId="77777777" w:rsidR="00F14C78" w:rsidRDefault="00F14C78" w:rsidP="00C36845"/>
    <w:p w14:paraId="3AAB93D8" w14:textId="77777777" w:rsidR="00F14C78" w:rsidRDefault="00F14C78" w:rsidP="00C36845"/>
    <w:p w14:paraId="22F77B37" w14:textId="77777777" w:rsidR="00F14C78" w:rsidRDefault="00F14C78" w:rsidP="00C36845"/>
    <w:p w14:paraId="2EB2A683" w14:textId="77777777" w:rsidR="00F14C78" w:rsidRDefault="00F14C78" w:rsidP="00C36845"/>
    <w:p w14:paraId="6639C2B0" w14:textId="77777777" w:rsidR="00F14C78" w:rsidRDefault="00F14C78" w:rsidP="00C36845"/>
    <w:p w14:paraId="27FB882F" w14:textId="77777777" w:rsidR="00F14C78" w:rsidRDefault="00F14C78" w:rsidP="00C36845"/>
    <w:p w14:paraId="5A91C216" w14:textId="77777777" w:rsidR="00F14C78" w:rsidRDefault="00F14C78" w:rsidP="00C36845"/>
    <w:p w14:paraId="3B98BF68" w14:textId="77777777" w:rsidR="00F14C78" w:rsidRDefault="00F14C78" w:rsidP="00C36845"/>
    <w:p w14:paraId="3EEDB8D9" w14:textId="77777777" w:rsidR="00F14C78" w:rsidRDefault="00F14C78" w:rsidP="00C36845"/>
    <w:p w14:paraId="7185F8B0" w14:textId="77777777" w:rsidR="00F14C78" w:rsidRDefault="00F14C78" w:rsidP="00C36845"/>
    <w:p w14:paraId="155B2094" w14:textId="77777777" w:rsidR="00F14C78" w:rsidRPr="00C36845" w:rsidRDefault="00F14C78" w:rsidP="00C36845"/>
    <w:p w14:paraId="61280831" w14:textId="77777777" w:rsidR="00482D99" w:rsidRDefault="00482D99" w:rsidP="00120057">
      <w:pPr>
        <w:pStyle w:val="Ttulo2"/>
      </w:pPr>
      <w:bookmarkStart w:id="7" w:name="_Toc33411061"/>
      <w:r>
        <w:lastRenderedPageBreak/>
        <w:t>Alcance</w:t>
      </w:r>
      <w:bookmarkEnd w:id="7"/>
    </w:p>
    <w:p w14:paraId="38F704EA" w14:textId="77777777" w:rsidR="004635EE" w:rsidRPr="004635EE" w:rsidRDefault="004635EE" w:rsidP="004635EE">
      <w:pPr>
        <w:spacing w:before="100" w:beforeAutospacing="1" w:after="100" w:afterAutospacing="1"/>
        <w:rPr>
          <w:rFonts w:cs="Arial"/>
          <w:szCs w:val="20"/>
        </w:rPr>
      </w:pPr>
      <w:r w:rsidRPr="004635EE">
        <w:rPr>
          <w:rFonts w:cs="Arial"/>
          <w:szCs w:val="20"/>
        </w:rPr>
        <w:t xml:space="preserve">El producto identificado bajo el nombre </w:t>
      </w:r>
      <w:r w:rsidRPr="004635EE">
        <w:rPr>
          <w:rFonts w:cs="Arial"/>
          <w:b/>
          <w:bCs/>
          <w:szCs w:val="20"/>
        </w:rPr>
        <w:t>SMACAR (Sistema de Monitoreo y Alerta de Calidad del Agua Rural)</w:t>
      </w:r>
      <w:r w:rsidRPr="004635EE">
        <w:rPr>
          <w:rFonts w:cs="Arial"/>
          <w:szCs w:val="20"/>
        </w:rPr>
        <w:t xml:space="preserve"> consiste en una unidad autónoma y portátil que mide parámetros como pH, conductividad eléctrica y sólidos disueltos totales (TDS) en cuerpos de agua superficial, enviando alertas y registros en tiempo real a través de una aplicación móvil y una interfaz web.</w:t>
      </w:r>
    </w:p>
    <w:p w14:paraId="778464D7" w14:textId="77777777" w:rsidR="004635EE" w:rsidRPr="004635EE" w:rsidRDefault="004635EE" w:rsidP="004635EE">
      <w:pPr>
        <w:spacing w:before="100" w:beforeAutospacing="1" w:after="100" w:afterAutospacing="1"/>
        <w:rPr>
          <w:rFonts w:cs="Arial"/>
          <w:szCs w:val="20"/>
        </w:rPr>
      </w:pPr>
      <w:r w:rsidRPr="004635EE">
        <w:rPr>
          <w:rFonts w:cs="Arial"/>
          <w:szCs w:val="20"/>
        </w:rPr>
        <w:t>El sistema incluye:</w:t>
      </w:r>
    </w:p>
    <w:p w14:paraId="2D1D7229" w14:textId="77777777" w:rsidR="004635EE" w:rsidRPr="004635EE" w:rsidRDefault="004635EE" w:rsidP="004635EE">
      <w:pPr>
        <w:numPr>
          <w:ilvl w:val="0"/>
          <w:numId w:val="9"/>
        </w:numPr>
        <w:spacing w:before="100" w:beforeAutospacing="1" w:after="100" w:afterAutospacing="1"/>
        <w:rPr>
          <w:rFonts w:cs="Arial"/>
          <w:szCs w:val="20"/>
        </w:rPr>
      </w:pPr>
      <w:r w:rsidRPr="004635EE">
        <w:rPr>
          <w:rFonts w:cs="Arial"/>
          <w:szCs w:val="20"/>
        </w:rPr>
        <w:t>Sensores sumergibles calibrados.</w:t>
      </w:r>
    </w:p>
    <w:p w14:paraId="5DB151A7" w14:textId="77777777" w:rsidR="004635EE" w:rsidRPr="004635EE" w:rsidRDefault="004635EE" w:rsidP="004635EE">
      <w:pPr>
        <w:numPr>
          <w:ilvl w:val="0"/>
          <w:numId w:val="9"/>
        </w:numPr>
        <w:spacing w:before="100" w:beforeAutospacing="1" w:after="100" w:afterAutospacing="1"/>
        <w:rPr>
          <w:rFonts w:cs="Arial"/>
          <w:szCs w:val="20"/>
        </w:rPr>
      </w:pPr>
      <w:r w:rsidRPr="004635EE">
        <w:rPr>
          <w:rFonts w:cs="Arial"/>
          <w:szCs w:val="20"/>
        </w:rPr>
        <w:t>Microcontrolador ESP32 programado en C++ (ESP-IDF).</w:t>
      </w:r>
    </w:p>
    <w:p w14:paraId="76966DCC" w14:textId="77777777" w:rsidR="004635EE" w:rsidRPr="004635EE" w:rsidRDefault="004635EE" w:rsidP="004635EE">
      <w:pPr>
        <w:numPr>
          <w:ilvl w:val="0"/>
          <w:numId w:val="9"/>
        </w:numPr>
        <w:spacing w:before="100" w:beforeAutospacing="1" w:after="100" w:afterAutospacing="1"/>
        <w:rPr>
          <w:rFonts w:cs="Arial"/>
          <w:szCs w:val="20"/>
        </w:rPr>
      </w:pPr>
      <w:r w:rsidRPr="004635EE">
        <w:rPr>
          <w:rFonts w:cs="Arial"/>
          <w:szCs w:val="20"/>
        </w:rPr>
        <w:t xml:space="preserve">Módulo </w:t>
      </w:r>
      <w:proofErr w:type="spellStart"/>
      <w:r w:rsidRPr="004635EE">
        <w:rPr>
          <w:rFonts w:cs="Arial"/>
          <w:szCs w:val="20"/>
        </w:rPr>
        <w:t>LoRa</w:t>
      </w:r>
      <w:proofErr w:type="spellEnd"/>
      <w:r w:rsidRPr="004635EE">
        <w:rPr>
          <w:rFonts w:cs="Arial"/>
          <w:szCs w:val="20"/>
        </w:rPr>
        <w:t xml:space="preserve"> para transmisión de datos a larga distancia.</w:t>
      </w:r>
    </w:p>
    <w:p w14:paraId="03FF2E2A" w14:textId="77777777" w:rsidR="004635EE" w:rsidRPr="004635EE" w:rsidRDefault="004635EE" w:rsidP="004635EE">
      <w:pPr>
        <w:numPr>
          <w:ilvl w:val="0"/>
          <w:numId w:val="9"/>
        </w:numPr>
        <w:spacing w:before="100" w:beforeAutospacing="1" w:after="100" w:afterAutospacing="1"/>
        <w:rPr>
          <w:rFonts w:cs="Arial"/>
          <w:szCs w:val="20"/>
        </w:rPr>
      </w:pPr>
      <w:r w:rsidRPr="004635EE">
        <w:rPr>
          <w:rFonts w:cs="Arial"/>
          <w:szCs w:val="20"/>
        </w:rPr>
        <w:t>Carcasa impermeable con grado de protección IP68 impresa en PETG.</w:t>
      </w:r>
    </w:p>
    <w:p w14:paraId="6F9AA8E4" w14:textId="77777777" w:rsidR="004635EE" w:rsidRPr="004635EE" w:rsidRDefault="004635EE" w:rsidP="004635EE">
      <w:pPr>
        <w:numPr>
          <w:ilvl w:val="0"/>
          <w:numId w:val="9"/>
        </w:numPr>
        <w:spacing w:before="100" w:beforeAutospacing="1" w:after="100" w:afterAutospacing="1"/>
        <w:rPr>
          <w:rFonts w:cs="Arial"/>
          <w:szCs w:val="20"/>
        </w:rPr>
      </w:pPr>
      <w:r w:rsidRPr="004635EE">
        <w:rPr>
          <w:rFonts w:cs="Arial"/>
          <w:szCs w:val="20"/>
        </w:rPr>
        <w:t>Alimentación mediante panel solar con respaldo de 72 horas.</w:t>
      </w:r>
    </w:p>
    <w:p w14:paraId="1B4E3668" w14:textId="77777777" w:rsidR="004635EE" w:rsidRPr="004635EE" w:rsidRDefault="004635EE" w:rsidP="004635EE">
      <w:pPr>
        <w:numPr>
          <w:ilvl w:val="0"/>
          <w:numId w:val="9"/>
        </w:numPr>
        <w:spacing w:before="100" w:beforeAutospacing="1" w:after="100" w:afterAutospacing="1"/>
        <w:rPr>
          <w:rFonts w:cs="Arial"/>
          <w:szCs w:val="20"/>
        </w:rPr>
      </w:pPr>
      <w:r w:rsidRPr="004635EE">
        <w:rPr>
          <w:rFonts w:cs="Arial"/>
          <w:szCs w:val="20"/>
        </w:rPr>
        <w:t xml:space="preserve">Plataforma de visualización basada en </w:t>
      </w:r>
      <w:proofErr w:type="spellStart"/>
      <w:r w:rsidRPr="004635EE">
        <w:rPr>
          <w:rFonts w:cs="Arial"/>
          <w:szCs w:val="20"/>
        </w:rPr>
        <w:t>Blynk</w:t>
      </w:r>
      <w:proofErr w:type="spellEnd"/>
      <w:r w:rsidRPr="004635EE">
        <w:rPr>
          <w:rFonts w:cs="Arial"/>
          <w:szCs w:val="20"/>
        </w:rPr>
        <w:t xml:space="preserve"> y </w:t>
      </w:r>
      <w:proofErr w:type="spellStart"/>
      <w:r w:rsidRPr="004635EE">
        <w:rPr>
          <w:rFonts w:cs="Arial"/>
          <w:szCs w:val="20"/>
        </w:rPr>
        <w:t>Node</w:t>
      </w:r>
      <w:proofErr w:type="spellEnd"/>
      <w:r w:rsidRPr="004635EE">
        <w:rPr>
          <w:rFonts w:cs="Arial"/>
          <w:szCs w:val="20"/>
        </w:rPr>
        <w:t>-RED.</w:t>
      </w:r>
    </w:p>
    <w:p w14:paraId="0109ED58" w14:textId="61C3B1B7" w:rsidR="004635EE" w:rsidRPr="00F14C78" w:rsidRDefault="004635EE" w:rsidP="004635EE">
      <w:pPr>
        <w:spacing w:before="100" w:beforeAutospacing="1" w:after="100" w:afterAutospacing="1"/>
        <w:rPr>
          <w:rFonts w:cs="Arial"/>
          <w:szCs w:val="20"/>
        </w:rPr>
      </w:pPr>
      <w:r w:rsidRPr="004635EE">
        <w:rPr>
          <w:rFonts w:cs="Arial"/>
          <w:szCs w:val="20"/>
        </w:rPr>
        <w:t>Este documento mantiene consistencia con lineamientos de mayor nivel vinculados al desarrollo de tecnologías para la gestión ambiental, siguiendo principios de diseño sostenible, bajo costo de producción y facilidad de implementación en comunidades con infraestructura limitad</w:t>
      </w:r>
      <w:r w:rsidR="00F14C78">
        <w:rPr>
          <w:rFonts w:cs="Arial"/>
          <w:szCs w:val="20"/>
        </w:rPr>
        <w:t>a</w:t>
      </w:r>
      <w:r w:rsidR="00EE4E69">
        <w:rPr>
          <w:rFonts w:cs="Arial"/>
          <w:szCs w:val="20"/>
        </w:rPr>
        <w:t>.</w:t>
      </w:r>
    </w:p>
    <w:p w14:paraId="1A98D977" w14:textId="77777777" w:rsidR="00482D99" w:rsidRDefault="00482D99" w:rsidP="00120057">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41D326B9" w:rsidR="00482D99" w:rsidRDefault="007E0115">
            <w:pPr>
              <w:pStyle w:val="Normalindentado2"/>
              <w:ind w:left="0"/>
            </w:pPr>
            <w:r>
              <w:t>Camila Fernández Vargas</w:t>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00675C0" w14:textId="77777777" w:rsidR="00482D99" w:rsidRDefault="00482D99">
      <w:pPr>
        <w:pStyle w:val="guiazul"/>
        <w:ind w:left="708"/>
      </w:pPr>
    </w:p>
    <w:p w14:paraId="42E0326C" w14:textId="77777777" w:rsidR="00482D99" w:rsidRDefault="00482D99">
      <w:pPr>
        <w:pStyle w:val="guiazul"/>
        <w:ind w:left="708"/>
      </w:pPr>
      <w:r>
        <w:t>Relación de personas involucradas en el desarrollo del sistema, con información de contacto.</w:t>
      </w:r>
    </w:p>
    <w:p w14:paraId="2DFB33D3"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8FFF049" w14:textId="77777777" w:rsidR="00482D99" w:rsidRDefault="00482D99" w:rsidP="00120057">
      <w:pPr>
        <w:pStyle w:val="Ttulo2"/>
      </w:pPr>
      <w:bookmarkStart w:id="11" w:name="_Toc33238236"/>
      <w:bookmarkStart w:id="12" w:name="_Toc33411063"/>
      <w:r>
        <w:t>Definiciones, acrónimos y abreviaturas</w:t>
      </w:r>
      <w:bookmarkEnd w:id="11"/>
      <w:bookmarkEnd w:id="12"/>
    </w:p>
    <w:p w14:paraId="2DB1D0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9A03500"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321E0FE7" w14:textId="77777777" w:rsidR="00482D99" w:rsidRDefault="00482D99" w:rsidP="00120057">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482D99" w14:paraId="26D5296A" w14:textId="77777777">
        <w:trPr>
          <w:cantSplit/>
        </w:trPr>
        <w:tc>
          <w:tcPr>
            <w:tcW w:w="1254" w:type="dxa"/>
            <w:tcBorders>
              <w:top w:val="double" w:sz="6" w:space="0" w:color="292929"/>
            </w:tcBorders>
          </w:tcPr>
          <w:p w14:paraId="4C401B45"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5262FF28"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3D59F20"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546591A"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2A4C41D7" w14:textId="77777777">
        <w:trPr>
          <w:cantSplit/>
        </w:trPr>
        <w:tc>
          <w:tcPr>
            <w:tcW w:w="1254" w:type="dxa"/>
          </w:tcPr>
          <w:p w14:paraId="5AA2A1CC" w14:textId="77777777" w:rsidR="00482D99" w:rsidRDefault="00482D99">
            <w:pPr>
              <w:pStyle w:val="Normalindentado2"/>
              <w:ind w:left="0"/>
            </w:pPr>
          </w:p>
        </w:tc>
        <w:tc>
          <w:tcPr>
            <w:tcW w:w="1980" w:type="dxa"/>
            <w:tcBorders>
              <w:right w:val="single" w:sz="4" w:space="0" w:color="292929"/>
            </w:tcBorders>
          </w:tcPr>
          <w:p w14:paraId="2C25E43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4B16C19"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58CCB8E" w14:textId="77777777" w:rsidR="00482D99" w:rsidRDefault="00482D99">
            <w:pPr>
              <w:pStyle w:val="Normalindentado2"/>
              <w:ind w:left="0"/>
            </w:pPr>
          </w:p>
        </w:tc>
        <w:tc>
          <w:tcPr>
            <w:tcW w:w="1538" w:type="dxa"/>
            <w:tcBorders>
              <w:left w:val="single" w:sz="4" w:space="0" w:color="292929"/>
            </w:tcBorders>
            <w:tcMar>
              <w:bottom w:w="0" w:type="dxa"/>
            </w:tcMar>
          </w:tcPr>
          <w:p w14:paraId="6569E392" w14:textId="77777777" w:rsidR="00482D99" w:rsidRDefault="00482D99">
            <w:pPr>
              <w:pStyle w:val="Normalindentado2"/>
              <w:ind w:left="0"/>
            </w:pPr>
          </w:p>
        </w:tc>
      </w:tr>
    </w:tbl>
    <w:p w14:paraId="4A869ADD" w14:textId="77777777" w:rsidR="00482D99" w:rsidRDefault="00482D99">
      <w:pPr>
        <w:pStyle w:val="guiazul"/>
        <w:ind w:left="708"/>
      </w:pPr>
    </w:p>
    <w:p w14:paraId="28EFEE3F" w14:textId="720366A6" w:rsidR="00482D99" w:rsidRDefault="00482D99">
      <w:pPr>
        <w:pStyle w:val="guiazul"/>
        <w:ind w:left="708"/>
      </w:pPr>
      <w:r>
        <w:t xml:space="preserve">Relación completa de todos los documentos </w:t>
      </w:r>
      <w:r w:rsidR="00547623">
        <w:t xml:space="preserve">y </w:t>
      </w:r>
      <w:proofErr w:type="gramStart"/>
      <w:r w:rsidR="00547623">
        <w:t>link</w:t>
      </w:r>
      <w:proofErr w:type="gramEnd"/>
      <w:r w:rsidR="00547623">
        <w:t xml:space="preserve"> a </w:t>
      </w:r>
      <w:r w:rsidR="00693188">
        <w:t xml:space="preserve">todas las herramientas de </w:t>
      </w:r>
      <w:r w:rsidR="00B57325">
        <w:t xml:space="preserve">software utilizados para la gestión del proyecto y versiones de documentos, </w:t>
      </w:r>
      <w:r>
        <w:t xml:space="preserve">relacionados en la especificación de requisitos de </w:t>
      </w:r>
      <w:r w:rsidR="00B57325">
        <w:t>producto</w:t>
      </w:r>
      <w:r>
        <w:t xml:space="preserve">, identificando de cada documento el </w:t>
      </w:r>
      <w:proofErr w:type="spellStart"/>
      <w:r>
        <w:t>titulo</w:t>
      </w:r>
      <w:proofErr w:type="spellEnd"/>
      <w:r>
        <w:t>, referencia (si procede), fecha y organización que lo proporciona.</w:t>
      </w:r>
    </w:p>
    <w:p w14:paraId="1793B830" w14:textId="77777777" w:rsidR="00482D99" w:rsidRDefault="00482D99" w:rsidP="00120057">
      <w:pPr>
        <w:pStyle w:val="Ttulo2"/>
      </w:pPr>
      <w:bookmarkStart w:id="15" w:name="_Toc33411065"/>
      <w:r>
        <w:t>Resumen</w:t>
      </w:r>
      <w:bookmarkEnd w:id="15"/>
    </w:p>
    <w:p w14:paraId="190DBFF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F8B0961" w14:textId="77777777" w:rsidR="00482D99" w:rsidRDefault="00482D99" w:rsidP="00120057">
      <w:pPr>
        <w:pStyle w:val="guiazul"/>
        <w:numPr>
          <w:ilvl w:val="0"/>
          <w:numId w:val="4"/>
        </w:numPr>
      </w:pPr>
      <w:r>
        <w:lastRenderedPageBreak/>
        <w:t>Descripción del contenido del resto del documento</w:t>
      </w:r>
    </w:p>
    <w:p w14:paraId="53F3981E" w14:textId="77777777" w:rsidR="00482D99" w:rsidRDefault="00482D99" w:rsidP="00120057">
      <w:pPr>
        <w:pStyle w:val="guiazul"/>
        <w:numPr>
          <w:ilvl w:val="0"/>
          <w:numId w:val="4"/>
        </w:numPr>
      </w:pPr>
      <w:r>
        <w:t>Explicación de la organización del documento</w:t>
      </w:r>
    </w:p>
    <w:p w14:paraId="431F947C" w14:textId="77777777" w:rsidR="00482D99" w:rsidRDefault="00482D99" w:rsidP="00120057">
      <w:pPr>
        <w:pStyle w:val="Ttulo1"/>
      </w:pPr>
      <w:bookmarkStart w:id="16" w:name="_Toc33238239"/>
      <w:bookmarkStart w:id="17" w:name="_Toc33411066"/>
      <w:r>
        <w:t>Descripción general</w:t>
      </w:r>
      <w:bookmarkEnd w:id="16"/>
      <w:bookmarkEnd w:id="17"/>
    </w:p>
    <w:p w14:paraId="2D902DDE" w14:textId="77777777" w:rsidR="00482D99" w:rsidRDefault="00482D99" w:rsidP="00120057">
      <w:pPr>
        <w:pStyle w:val="Ttulo2"/>
      </w:pPr>
      <w:bookmarkStart w:id="18" w:name="_Toc33238240"/>
      <w:bookmarkStart w:id="19" w:name="_Toc33411067"/>
      <w:r>
        <w:t>Perspectiva del producto</w:t>
      </w:r>
      <w:bookmarkEnd w:id="18"/>
      <w:bookmarkEnd w:id="19"/>
    </w:p>
    <w:p w14:paraId="118322F9" w14:textId="77777777" w:rsidR="00BE6CA7" w:rsidRPr="00BE6CA7" w:rsidRDefault="00BE6CA7" w:rsidP="00BE6CA7">
      <w:r w:rsidRPr="00BE6CA7">
        <w:t>SMACAR es un producto autónomo e independiente diseñado para operar sin requerimientos de infraestructura adicional o conexión permanente a redes convencionales. No obstante, puede integrarse como módulo sensor en plataformas más amplias de gestión ambiental o sistemas SCADA rurales.</w:t>
      </w:r>
    </w:p>
    <w:p w14:paraId="6EE166EC" w14:textId="77777777" w:rsidR="00BE6CA7" w:rsidRPr="00BE6CA7" w:rsidRDefault="00BE6CA7" w:rsidP="00BE6CA7"/>
    <w:p w14:paraId="4D3F1040" w14:textId="58365BFA" w:rsidR="00BE6CA7" w:rsidRPr="00BE6CA7" w:rsidRDefault="00BE6CA7" w:rsidP="00BE6CA7">
      <w:r w:rsidRPr="00BE6CA7">
        <w:t xml:space="preserve">Su diseño modular permite vinculación futura con plataformas institucionales de monitoreo hidrometeorológico o bases de datos de salud pública, mediante </w:t>
      </w:r>
      <w:proofErr w:type="spellStart"/>
      <w:r w:rsidRPr="00BE6CA7">
        <w:t>APIs</w:t>
      </w:r>
      <w:proofErr w:type="spellEnd"/>
      <w:r w:rsidRPr="00BE6CA7">
        <w:t xml:space="preserve"> REST o integración por MQTT a través de </w:t>
      </w:r>
      <w:proofErr w:type="spellStart"/>
      <w:r w:rsidRPr="00BE6CA7">
        <w:t>gateways</w:t>
      </w:r>
      <w:proofErr w:type="spellEnd"/>
      <w:r w:rsidRPr="00BE6CA7">
        <w:t xml:space="preserve"> compatibles con </w:t>
      </w:r>
      <w:proofErr w:type="spellStart"/>
      <w:r w:rsidRPr="00BE6CA7">
        <w:t>LoRaWAN</w:t>
      </w:r>
      <w:proofErr w:type="spellEnd"/>
      <w:r w:rsidRPr="00BE6CA7">
        <w:t>.</w:t>
      </w:r>
    </w:p>
    <w:p w14:paraId="19DF9473" w14:textId="77777777" w:rsidR="00482D99" w:rsidRDefault="00482D99" w:rsidP="00120057">
      <w:pPr>
        <w:pStyle w:val="Ttulo2"/>
      </w:pPr>
      <w:bookmarkStart w:id="20" w:name="_Toc532878319"/>
      <w:bookmarkStart w:id="21" w:name="_Toc33238241"/>
      <w:bookmarkStart w:id="22" w:name="_Toc33411068"/>
      <w:r>
        <w:t>Funcionalidad del producto</w:t>
      </w:r>
      <w:bookmarkEnd w:id="20"/>
      <w:bookmarkEnd w:id="21"/>
      <w:bookmarkEnd w:id="22"/>
    </w:p>
    <w:p w14:paraId="7767ED3C" w14:textId="77777777" w:rsidR="006D5D0E" w:rsidRPr="006D5D0E" w:rsidRDefault="006D5D0E" w:rsidP="006D5D0E">
      <w:pPr>
        <w:spacing w:before="100" w:beforeAutospacing="1" w:after="100" w:afterAutospacing="1"/>
        <w:rPr>
          <w:rFonts w:cs="Arial"/>
          <w:szCs w:val="20"/>
        </w:rPr>
      </w:pPr>
      <w:r w:rsidRPr="006D5D0E">
        <w:rPr>
          <w:rFonts w:cs="Arial"/>
          <w:szCs w:val="20"/>
        </w:rPr>
        <w:t>Las funcionalidades principales del sistema SMACAR se agrupan en cuatro bloques operativos:</w:t>
      </w:r>
    </w:p>
    <w:p w14:paraId="69050E61" w14:textId="77777777" w:rsidR="006D5D0E" w:rsidRPr="006D5D0E" w:rsidRDefault="006D5D0E" w:rsidP="006D5D0E">
      <w:pPr>
        <w:numPr>
          <w:ilvl w:val="0"/>
          <w:numId w:val="10"/>
        </w:numPr>
        <w:spacing w:before="100" w:beforeAutospacing="1" w:after="100" w:afterAutospacing="1"/>
        <w:rPr>
          <w:rFonts w:cs="Arial"/>
          <w:szCs w:val="20"/>
        </w:rPr>
      </w:pPr>
      <w:r w:rsidRPr="006D5D0E">
        <w:rPr>
          <w:rFonts w:cs="Arial"/>
          <w:b/>
          <w:bCs/>
          <w:szCs w:val="20"/>
        </w:rPr>
        <w:t>1. Adquisición de datos:</w:t>
      </w:r>
    </w:p>
    <w:p w14:paraId="02059B8C" w14:textId="77777777" w:rsidR="006D5D0E" w:rsidRPr="006D5D0E" w:rsidRDefault="006D5D0E" w:rsidP="006D5D0E">
      <w:pPr>
        <w:numPr>
          <w:ilvl w:val="1"/>
          <w:numId w:val="10"/>
        </w:numPr>
        <w:spacing w:before="100" w:beforeAutospacing="1" w:after="100" w:afterAutospacing="1"/>
        <w:rPr>
          <w:rFonts w:cs="Arial"/>
          <w:szCs w:val="20"/>
        </w:rPr>
      </w:pPr>
      <w:r w:rsidRPr="006D5D0E">
        <w:rPr>
          <w:rFonts w:cs="Arial"/>
          <w:szCs w:val="20"/>
        </w:rPr>
        <w:t>Medición periódica (cada 15 minutos) de parámetros de calidad del agua: pH, conductividad eléctrica y TDS.</w:t>
      </w:r>
    </w:p>
    <w:p w14:paraId="2C2D0A73" w14:textId="77777777" w:rsidR="006D5D0E" w:rsidRPr="006D5D0E" w:rsidRDefault="006D5D0E" w:rsidP="006D5D0E">
      <w:pPr>
        <w:numPr>
          <w:ilvl w:val="1"/>
          <w:numId w:val="10"/>
        </w:numPr>
        <w:spacing w:before="100" w:beforeAutospacing="1" w:after="100" w:afterAutospacing="1"/>
        <w:rPr>
          <w:rFonts w:cs="Arial"/>
          <w:szCs w:val="20"/>
        </w:rPr>
      </w:pPr>
      <w:r w:rsidRPr="006D5D0E">
        <w:rPr>
          <w:rFonts w:cs="Arial"/>
          <w:szCs w:val="20"/>
        </w:rPr>
        <w:t>Calibración inicial mediante soluciones buffer y validación contra equipos certificados.</w:t>
      </w:r>
    </w:p>
    <w:p w14:paraId="56F6A749" w14:textId="77777777" w:rsidR="006D5D0E" w:rsidRPr="006D5D0E" w:rsidRDefault="006D5D0E" w:rsidP="006D5D0E">
      <w:pPr>
        <w:numPr>
          <w:ilvl w:val="0"/>
          <w:numId w:val="10"/>
        </w:numPr>
        <w:spacing w:before="100" w:beforeAutospacing="1" w:after="100" w:afterAutospacing="1"/>
        <w:rPr>
          <w:rFonts w:cs="Arial"/>
          <w:szCs w:val="20"/>
        </w:rPr>
      </w:pPr>
      <w:r w:rsidRPr="006D5D0E">
        <w:rPr>
          <w:rFonts w:cs="Arial"/>
          <w:b/>
          <w:bCs/>
          <w:szCs w:val="20"/>
        </w:rPr>
        <w:t>2. Procesamiento y almacenamiento:</w:t>
      </w:r>
    </w:p>
    <w:p w14:paraId="4F7C6D44" w14:textId="77777777" w:rsidR="006D5D0E" w:rsidRPr="006D5D0E" w:rsidRDefault="006D5D0E" w:rsidP="006D5D0E">
      <w:pPr>
        <w:numPr>
          <w:ilvl w:val="1"/>
          <w:numId w:val="10"/>
        </w:numPr>
        <w:spacing w:before="100" w:beforeAutospacing="1" w:after="100" w:afterAutospacing="1"/>
        <w:rPr>
          <w:rFonts w:cs="Arial"/>
          <w:szCs w:val="20"/>
        </w:rPr>
      </w:pPr>
      <w:r w:rsidRPr="006D5D0E">
        <w:rPr>
          <w:rFonts w:cs="Arial"/>
          <w:szCs w:val="20"/>
        </w:rPr>
        <w:t>Conversión analógica-digital y limpieza básica de señales en el ESP32.</w:t>
      </w:r>
    </w:p>
    <w:p w14:paraId="7378AA0F" w14:textId="77777777" w:rsidR="006D5D0E" w:rsidRPr="006D5D0E" w:rsidRDefault="006D5D0E" w:rsidP="006D5D0E">
      <w:pPr>
        <w:numPr>
          <w:ilvl w:val="1"/>
          <w:numId w:val="10"/>
        </w:numPr>
        <w:spacing w:before="100" w:beforeAutospacing="1" w:after="100" w:afterAutospacing="1"/>
        <w:rPr>
          <w:rFonts w:cs="Arial"/>
          <w:szCs w:val="20"/>
        </w:rPr>
      </w:pPr>
      <w:r w:rsidRPr="006D5D0E">
        <w:rPr>
          <w:rFonts w:cs="Arial"/>
          <w:szCs w:val="20"/>
        </w:rPr>
        <w:t>Almacenamiento temporal de datos en memoria local para redundancia.</w:t>
      </w:r>
    </w:p>
    <w:p w14:paraId="7720F1EA" w14:textId="77777777" w:rsidR="006D5D0E" w:rsidRPr="006D5D0E" w:rsidRDefault="006D5D0E" w:rsidP="006D5D0E">
      <w:pPr>
        <w:numPr>
          <w:ilvl w:val="0"/>
          <w:numId w:val="10"/>
        </w:numPr>
        <w:spacing w:before="100" w:beforeAutospacing="1" w:after="100" w:afterAutospacing="1"/>
        <w:rPr>
          <w:rFonts w:cs="Arial"/>
          <w:szCs w:val="20"/>
        </w:rPr>
      </w:pPr>
      <w:r w:rsidRPr="006D5D0E">
        <w:rPr>
          <w:rFonts w:cs="Arial"/>
          <w:b/>
          <w:bCs/>
          <w:szCs w:val="20"/>
        </w:rPr>
        <w:t>3. Comunicación y visualización:</w:t>
      </w:r>
    </w:p>
    <w:p w14:paraId="45ED9093" w14:textId="77777777" w:rsidR="006D5D0E" w:rsidRPr="006D5D0E" w:rsidRDefault="006D5D0E" w:rsidP="006D5D0E">
      <w:pPr>
        <w:numPr>
          <w:ilvl w:val="1"/>
          <w:numId w:val="10"/>
        </w:numPr>
        <w:spacing w:before="100" w:beforeAutospacing="1" w:after="100" w:afterAutospacing="1"/>
        <w:rPr>
          <w:rFonts w:cs="Arial"/>
          <w:szCs w:val="20"/>
        </w:rPr>
      </w:pPr>
      <w:r w:rsidRPr="006D5D0E">
        <w:rPr>
          <w:rFonts w:cs="Arial"/>
          <w:szCs w:val="20"/>
        </w:rPr>
        <w:t xml:space="preserve">Transmisión de datos vía protocolo </w:t>
      </w:r>
      <w:proofErr w:type="spellStart"/>
      <w:r w:rsidRPr="006D5D0E">
        <w:rPr>
          <w:rFonts w:cs="Arial"/>
          <w:szCs w:val="20"/>
        </w:rPr>
        <w:t>LoRaWAN</w:t>
      </w:r>
      <w:proofErr w:type="spellEnd"/>
      <w:r w:rsidRPr="006D5D0E">
        <w:rPr>
          <w:rFonts w:cs="Arial"/>
          <w:szCs w:val="20"/>
        </w:rPr>
        <w:t xml:space="preserve"> hacia una pasarela central.</w:t>
      </w:r>
    </w:p>
    <w:p w14:paraId="45D026E7" w14:textId="77777777" w:rsidR="006D5D0E" w:rsidRPr="006D5D0E" w:rsidRDefault="006D5D0E" w:rsidP="006D5D0E">
      <w:pPr>
        <w:numPr>
          <w:ilvl w:val="1"/>
          <w:numId w:val="10"/>
        </w:numPr>
        <w:spacing w:before="100" w:beforeAutospacing="1" w:after="100" w:afterAutospacing="1"/>
        <w:rPr>
          <w:rFonts w:cs="Arial"/>
          <w:szCs w:val="20"/>
        </w:rPr>
      </w:pPr>
      <w:r w:rsidRPr="006D5D0E">
        <w:rPr>
          <w:rFonts w:cs="Arial"/>
          <w:szCs w:val="20"/>
        </w:rPr>
        <w:t xml:space="preserve">Visualización de alertas y registros históricos en una </w:t>
      </w:r>
      <w:proofErr w:type="gramStart"/>
      <w:r w:rsidRPr="006D5D0E">
        <w:rPr>
          <w:rFonts w:cs="Arial"/>
          <w:szCs w:val="20"/>
        </w:rPr>
        <w:t>app</w:t>
      </w:r>
      <w:proofErr w:type="gramEnd"/>
      <w:r w:rsidRPr="006D5D0E">
        <w:rPr>
          <w:rFonts w:cs="Arial"/>
          <w:szCs w:val="20"/>
        </w:rPr>
        <w:t xml:space="preserve"> móvil (</w:t>
      </w:r>
      <w:proofErr w:type="spellStart"/>
      <w:r w:rsidRPr="006D5D0E">
        <w:rPr>
          <w:rFonts w:cs="Arial"/>
          <w:szCs w:val="20"/>
        </w:rPr>
        <w:t>Blynk</w:t>
      </w:r>
      <w:proofErr w:type="spellEnd"/>
      <w:r w:rsidRPr="006D5D0E">
        <w:rPr>
          <w:rFonts w:cs="Arial"/>
          <w:szCs w:val="20"/>
        </w:rPr>
        <w:t xml:space="preserve">) y </w:t>
      </w:r>
      <w:proofErr w:type="spellStart"/>
      <w:r w:rsidRPr="006D5D0E">
        <w:rPr>
          <w:rFonts w:cs="Arial"/>
          <w:szCs w:val="20"/>
        </w:rPr>
        <w:t>dashboard</w:t>
      </w:r>
      <w:proofErr w:type="spellEnd"/>
      <w:r w:rsidRPr="006D5D0E">
        <w:rPr>
          <w:rFonts w:cs="Arial"/>
          <w:szCs w:val="20"/>
        </w:rPr>
        <w:t xml:space="preserve"> web (</w:t>
      </w:r>
      <w:proofErr w:type="spellStart"/>
      <w:r w:rsidRPr="006D5D0E">
        <w:rPr>
          <w:rFonts w:cs="Arial"/>
          <w:szCs w:val="20"/>
        </w:rPr>
        <w:t>Node</w:t>
      </w:r>
      <w:proofErr w:type="spellEnd"/>
      <w:r w:rsidRPr="006D5D0E">
        <w:rPr>
          <w:rFonts w:cs="Arial"/>
          <w:szCs w:val="20"/>
        </w:rPr>
        <w:t>-RED).</w:t>
      </w:r>
    </w:p>
    <w:p w14:paraId="5D713B0A" w14:textId="77777777" w:rsidR="006D5D0E" w:rsidRPr="006D5D0E" w:rsidRDefault="006D5D0E" w:rsidP="006D5D0E">
      <w:pPr>
        <w:numPr>
          <w:ilvl w:val="0"/>
          <w:numId w:val="10"/>
        </w:numPr>
        <w:spacing w:before="100" w:beforeAutospacing="1" w:after="100" w:afterAutospacing="1"/>
        <w:rPr>
          <w:rFonts w:cs="Arial"/>
          <w:szCs w:val="20"/>
        </w:rPr>
      </w:pPr>
      <w:r w:rsidRPr="006D5D0E">
        <w:rPr>
          <w:rFonts w:cs="Arial"/>
          <w:b/>
          <w:bCs/>
          <w:szCs w:val="20"/>
        </w:rPr>
        <w:t>4. Energía y autonomía:</w:t>
      </w:r>
    </w:p>
    <w:p w14:paraId="5BF2E7A4" w14:textId="77777777" w:rsidR="006D5D0E" w:rsidRPr="006D5D0E" w:rsidRDefault="006D5D0E" w:rsidP="006D5D0E">
      <w:pPr>
        <w:numPr>
          <w:ilvl w:val="1"/>
          <w:numId w:val="10"/>
        </w:numPr>
        <w:spacing w:before="100" w:beforeAutospacing="1" w:after="100" w:afterAutospacing="1"/>
        <w:rPr>
          <w:rFonts w:cs="Arial"/>
          <w:szCs w:val="20"/>
        </w:rPr>
      </w:pPr>
      <w:r w:rsidRPr="006D5D0E">
        <w:rPr>
          <w:rFonts w:cs="Arial"/>
          <w:szCs w:val="20"/>
        </w:rPr>
        <w:t>Gestión energética mediante panel solar de 10W con respaldo de batería (hasta 72 horas en ausencia solar).</w:t>
      </w:r>
    </w:p>
    <w:p w14:paraId="10AD65D5" w14:textId="77777777" w:rsidR="006D5D0E" w:rsidRPr="006D5D0E" w:rsidRDefault="006D5D0E" w:rsidP="006D5D0E">
      <w:pPr>
        <w:numPr>
          <w:ilvl w:val="1"/>
          <w:numId w:val="10"/>
        </w:numPr>
        <w:spacing w:before="100" w:beforeAutospacing="1" w:after="100" w:afterAutospacing="1"/>
        <w:rPr>
          <w:rFonts w:cs="Arial"/>
          <w:szCs w:val="20"/>
        </w:rPr>
      </w:pPr>
      <w:r w:rsidRPr="006D5D0E">
        <w:rPr>
          <w:rFonts w:cs="Arial"/>
          <w:szCs w:val="20"/>
        </w:rPr>
        <w:t xml:space="preserve">Consumo optimizado para modo </w:t>
      </w:r>
      <w:proofErr w:type="spellStart"/>
      <w:r w:rsidRPr="006D5D0E">
        <w:rPr>
          <w:rFonts w:cs="Arial"/>
          <w:szCs w:val="20"/>
        </w:rPr>
        <w:t>standby</w:t>
      </w:r>
      <w:proofErr w:type="spellEnd"/>
      <w:r w:rsidRPr="006D5D0E">
        <w:rPr>
          <w:rFonts w:cs="Arial"/>
          <w:szCs w:val="20"/>
        </w:rPr>
        <w:t xml:space="preserve"> (&lt;100 mA) con estrategias de bajo consumo entre lecturas.</w:t>
      </w:r>
    </w:p>
    <w:p w14:paraId="3DDE252E" w14:textId="5CE866B1" w:rsidR="00482D99" w:rsidRPr="00BE6CA7" w:rsidRDefault="006D5D0E" w:rsidP="00BE6CA7">
      <w:pPr>
        <w:spacing w:before="100" w:beforeAutospacing="1" w:after="100" w:afterAutospacing="1"/>
        <w:rPr>
          <w:rFonts w:cs="Arial"/>
          <w:szCs w:val="20"/>
        </w:rPr>
      </w:pPr>
      <w:r w:rsidRPr="006D5D0E">
        <w:rPr>
          <w:rFonts w:cs="Arial"/>
          <w:szCs w:val="20"/>
        </w:rPr>
        <w:t>Estas funcionalidades están diseñadas para garantizar operación continua en ambientes rurales con condiciones variables, manteniendo la confiabilidad y robustez del sistema frente a humedad, temperatura y exposición prolongada.</w:t>
      </w:r>
    </w:p>
    <w:p w14:paraId="0E4528BC" w14:textId="77777777" w:rsidR="00482D99" w:rsidRDefault="00482D99" w:rsidP="00120057">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7E05D7B2" w14:textId="77777777" w:rsidR="0004114C" w:rsidRDefault="0004114C">
      <w:pPr>
        <w:pStyle w:val="guiazul"/>
        <w:ind w:left="708"/>
      </w:pPr>
    </w:p>
    <w:p w14:paraId="53B2D42D" w14:textId="77777777" w:rsidR="0004114C" w:rsidRDefault="0004114C">
      <w:pPr>
        <w:pStyle w:val="guiazul"/>
        <w:ind w:left="708"/>
      </w:pPr>
    </w:p>
    <w:p w14:paraId="3BA9AD5F" w14:textId="77777777" w:rsidR="00482D99" w:rsidRDefault="00482D99" w:rsidP="00120057">
      <w:pPr>
        <w:pStyle w:val="Ttulo2"/>
      </w:pPr>
      <w:bookmarkStart w:id="26" w:name="_Toc532878321"/>
      <w:bookmarkStart w:id="27" w:name="_Toc33238243"/>
      <w:bookmarkStart w:id="28" w:name="_Toc33411070"/>
      <w:r>
        <w:lastRenderedPageBreak/>
        <w:t>Restricciones</w:t>
      </w:r>
      <w:bookmarkEnd w:id="26"/>
      <w:bookmarkEnd w:id="27"/>
      <w:bookmarkEnd w:id="28"/>
    </w:p>
    <w:p w14:paraId="26BC5910" w14:textId="77777777" w:rsidR="0004114C" w:rsidRDefault="0004114C" w:rsidP="00102ABF">
      <w:pPr>
        <w:pStyle w:val="Normalindentado2"/>
        <w:ind w:left="0"/>
      </w:pPr>
      <w:r w:rsidRPr="00F62499">
        <w:rPr>
          <w:b/>
          <w:bCs/>
        </w:rPr>
        <w:t>Hardware:</w:t>
      </w:r>
      <w:r>
        <w:t xml:space="preserve"> El sistema debe operar utilizando un microcontrolador ESP32, seleccionado por su doble núcleo, bajo consumo y compatibilidad con múltiples interfaces de sensores. Los sensores utilizados (pH, conductividad, TDS) deben ser sumergibles y soportar condiciones ambientales adversas.</w:t>
      </w:r>
    </w:p>
    <w:p w14:paraId="22B17329" w14:textId="77777777" w:rsidR="0004114C" w:rsidRDefault="0004114C" w:rsidP="0004114C">
      <w:pPr>
        <w:pStyle w:val="Normalindentado2"/>
      </w:pPr>
    </w:p>
    <w:p w14:paraId="0C9BB627" w14:textId="77777777" w:rsidR="0004114C" w:rsidRDefault="0004114C" w:rsidP="00102ABF">
      <w:pPr>
        <w:pStyle w:val="Normalindentado2"/>
        <w:ind w:left="0"/>
      </w:pPr>
      <w:r w:rsidRPr="00F62499">
        <w:rPr>
          <w:b/>
          <w:bCs/>
        </w:rPr>
        <w:t>Carcasa:</w:t>
      </w:r>
      <w:r>
        <w:t xml:space="preserve"> El diseño mecánico debe cumplir con la norma de protección IP68, lo que implica sellado total contra ingreso de polvo y resistencia a la inmersión prolongada en agua (≥2 metros de profundidad). Los materiales de la carcasa deben ser resistentes a la radiación UV y a la corrosión.</w:t>
      </w:r>
    </w:p>
    <w:p w14:paraId="4CA7A9DE" w14:textId="77777777" w:rsidR="0004114C" w:rsidRDefault="0004114C" w:rsidP="0004114C">
      <w:pPr>
        <w:pStyle w:val="Normalindentado2"/>
      </w:pPr>
    </w:p>
    <w:p w14:paraId="572C9039" w14:textId="77777777" w:rsidR="0004114C" w:rsidRDefault="0004114C" w:rsidP="00102ABF">
      <w:pPr>
        <w:pStyle w:val="Normalindentado2"/>
        <w:ind w:left="0"/>
      </w:pPr>
      <w:r w:rsidRPr="00F62499">
        <w:rPr>
          <w:b/>
          <w:bCs/>
        </w:rPr>
        <w:t>Energía:</w:t>
      </w:r>
      <w:r>
        <w:t xml:space="preserve"> La fuente energética principal será un panel solar de 10W con respaldo de batería. El consumo del sistema no debe superar los 100 mA en estado de reposo, para garantizar una autonomía mínima de 72 horas sin recarga solar.</w:t>
      </w:r>
    </w:p>
    <w:p w14:paraId="63A5CE18" w14:textId="77777777" w:rsidR="0004114C" w:rsidRDefault="0004114C" w:rsidP="0004114C">
      <w:pPr>
        <w:pStyle w:val="Normalindentado2"/>
      </w:pPr>
    </w:p>
    <w:p w14:paraId="6AE0646E" w14:textId="77777777" w:rsidR="0004114C" w:rsidRDefault="0004114C" w:rsidP="00102ABF">
      <w:pPr>
        <w:pStyle w:val="Normalindentado2"/>
        <w:ind w:left="0"/>
      </w:pPr>
      <w:r w:rsidRPr="00F62499">
        <w:rPr>
          <w:b/>
          <w:bCs/>
        </w:rPr>
        <w:t>Software:</w:t>
      </w:r>
      <w:r>
        <w:t xml:space="preserve"> El firmware debe ser desarrollado utilizando el </w:t>
      </w:r>
      <w:proofErr w:type="spellStart"/>
      <w:r>
        <w:t>framework</w:t>
      </w:r>
      <w:proofErr w:type="spellEnd"/>
      <w:r>
        <w:t xml:space="preserve"> ESP-IDF (</w:t>
      </w:r>
      <w:proofErr w:type="spellStart"/>
      <w:r>
        <w:t>Espressif</w:t>
      </w:r>
      <w:proofErr w:type="spellEnd"/>
      <w:r>
        <w:t xml:space="preserve"> </w:t>
      </w:r>
      <w:proofErr w:type="spellStart"/>
      <w:r>
        <w:t>IoT</w:t>
      </w:r>
      <w:proofErr w:type="spellEnd"/>
      <w:r>
        <w:t xml:space="preserve"> </w:t>
      </w:r>
      <w:proofErr w:type="spellStart"/>
      <w:r>
        <w:t>Development</w:t>
      </w:r>
      <w:proofErr w:type="spellEnd"/>
      <w:r>
        <w:t xml:space="preserve"> Framework), en lenguaje C++, lo cual impone restricciones de compatibilidad con bibliotecas externas y un manejo cuidadoso de los recursos de memoria.</w:t>
      </w:r>
    </w:p>
    <w:p w14:paraId="3D79B783" w14:textId="77777777" w:rsidR="0004114C" w:rsidRDefault="0004114C" w:rsidP="0004114C">
      <w:pPr>
        <w:pStyle w:val="Normalindentado2"/>
      </w:pPr>
    </w:p>
    <w:p w14:paraId="0181F7A2" w14:textId="77777777" w:rsidR="0004114C" w:rsidRDefault="0004114C" w:rsidP="00102ABF">
      <w:pPr>
        <w:pStyle w:val="Normalindentado2"/>
        <w:ind w:left="0"/>
      </w:pPr>
      <w:r w:rsidRPr="00F62499">
        <w:rPr>
          <w:b/>
          <w:bCs/>
        </w:rPr>
        <w:t>Comunicación:</w:t>
      </w:r>
      <w:r>
        <w:t xml:space="preserve"> El protocolo de transmisión debe ser </w:t>
      </w:r>
      <w:proofErr w:type="spellStart"/>
      <w:r>
        <w:t>LoRaWAN</w:t>
      </w:r>
      <w:proofErr w:type="spellEnd"/>
      <w:r>
        <w:t xml:space="preserve">, debido a la falta de conectividad celular o </w:t>
      </w:r>
      <w:proofErr w:type="spellStart"/>
      <w:r>
        <w:t>Wi</w:t>
      </w:r>
      <w:proofErr w:type="spellEnd"/>
      <w:r>
        <w:t>-Fi en las zonas rurales objetivo. Esto limita el ancho de banda y la frecuencia de envío de datos.</w:t>
      </w:r>
    </w:p>
    <w:p w14:paraId="7205A990" w14:textId="77777777" w:rsidR="0004114C" w:rsidRDefault="0004114C" w:rsidP="0004114C">
      <w:pPr>
        <w:pStyle w:val="Normalindentado2"/>
      </w:pPr>
    </w:p>
    <w:p w14:paraId="47D6543E" w14:textId="5E46DD7E" w:rsidR="0004114C" w:rsidRPr="0004114C" w:rsidRDefault="0004114C" w:rsidP="00102ABF">
      <w:pPr>
        <w:pStyle w:val="Normalindentado2"/>
        <w:ind w:left="0"/>
      </w:pPr>
      <w:r w:rsidRPr="00F62499">
        <w:rPr>
          <w:b/>
          <w:bCs/>
        </w:rPr>
        <w:t>Normativas:</w:t>
      </w:r>
      <w:r>
        <w:t xml:space="preserve"> El sistema debe cumplir con las regulaciones nacionales sobre monitoreo ambiental, manejo de datos y uso del espectro de radiofrecuencia libre (banda ISM para </w:t>
      </w:r>
      <w:proofErr w:type="spellStart"/>
      <w:r>
        <w:t>LoRa</w:t>
      </w:r>
      <w:proofErr w:type="spellEnd"/>
      <w:r>
        <w:t>).</w:t>
      </w:r>
    </w:p>
    <w:p w14:paraId="0478E0E3" w14:textId="77777777" w:rsidR="00482D99" w:rsidRDefault="00482D99" w:rsidP="00120057">
      <w:pPr>
        <w:pStyle w:val="Ttulo2"/>
      </w:pPr>
      <w:bookmarkStart w:id="29" w:name="_Toc532878322"/>
      <w:bookmarkStart w:id="30" w:name="_Toc33238244"/>
      <w:bookmarkStart w:id="31" w:name="_Toc33411071"/>
      <w:r>
        <w:t>Suposiciones y dependencias</w:t>
      </w:r>
      <w:bookmarkEnd w:id="29"/>
      <w:bookmarkEnd w:id="30"/>
      <w:bookmarkEnd w:id="31"/>
    </w:p>
    <w:p w14:paraId="68FE026B" w14:textId="77777777" w:rsidR="00F62499" w:rsidRDefault="00F62499" w:rsidP="00F62499">
      <w:pPr>
        <w:pStyle w:val="Normalindentado2"/>
      </w:pPr>
    </w:p>
    <w:p w14:paraId="599782BA" w14:textId="59D55A82" w:rsidR="00F62499" w:rsidRDefault="00F62499" w:rsidP="00102ABF">
      <w:pPr>
        <w:pStyle w:val="Normalindentado2"/>
        <w:ind w:left="0"/>
      </w:pPr>
      <w:r>
        <w:t>Se asume que las zonas de despliegue tienen al menos 4 horas diarias de radiación solar útil, necesarias para la carga efectiva del sistema energético autónomo. Una disminución prolongada de insolación afectaría la continuidad operativa.</w:t>
      </w:r>
    </w:p>
    <w:p w14:paraId="247F0EFC" w14:textId="77777777" w:rsidR="00F62499" w:rsidRDefault="00F62499" w:rsidP="00F62499">
      <w:pPr>
        <w:pStyle w:val="Normalindentado2"/>
      </w:pPr>
    </w:p>
    <w:p w14:paraId="396EA53A" w14:textId="2C3AE61F" w:rsidR="00F62499" w:rsidRDefault="00F62499" w:rsidP="00102ABF">
      <w:pPr>
        <w:pStyle w:val="Normalindentado2"/>
        <w:ind w:left="0"/>
      </w:pPr>
      <w:r>
        <w:t xml:space="preserve">Se supone que la red </w:t>
      </w:r>
      <w:proofErr w:type="spellStart"/>
      <w:r>
        <w:t>LoRa</w:t>
      </w:r>
      <w:proofErr w:type="spellEnd"/>
      <w:r>
        <w:t xml:space="preserve"> (propia o comunitaria) estará disponible o podrá establecerse mediante </w:t>
      </w:r>
      <w:proofErr w:type="spellStart"/>
      <w:r>
        <w:t>gateways</w:t>
      </w:r>
      <w:proofErr w:type="spellEnd"/>
      <w:r>
        <w:t xml:space="preserve"> en zonas elevadas. La ausencia total de cobertura obligaría a modificar el esquema de transmisión (ej. almacenamiento local diferido o uso de GPRS).</w:t>
      </w:r>
    </w:p>
    <w:p w14:paraId="64C56714" w14:textId="77777777" w:rsidR="00F62499" w:rsidRDefault="00F62499" w:rsidP="00F62499">
      <w:pPr>
        <w:pStyle w:val="Normalindentado2"/>
        <w:ind w:left="0"/>
      </w:pPr>
    </w:p>
    <w:p w14:paraId="04104F46" w14:textId="4FB1661E" w:rsidR="00F62499" w:rsidRDefault="00F62499" w:rsidP="00102ABF">
      <w:pPr>
        <w:pStyle w:val="Normalindentado2"/>
        <w:ind w:left="0"/>
      </w:pPr>
      <w:r>
        <w:t>Se asume que los usuarios clave (técnicos o comunitarios) serán capacitados adecuadamente, ya que el mal uso o instalación incorrecta puede comprometer la integridad de las mediciones.</w:t>
      </w:r>
    </w:p>
    <w:p w14:paraId="00BDDE37" w14:textId="77777777" w:rsidR="00F62499" w:rsidRDefault="00F62499" w:rsidP="00F62499">
      <w:pPr>
        <w:pStyle w:val="Normalindentado2"/>
      </w:pPr>
    </w:p>
    <w:p w14:paraId="2E1E619B" w14:textId="1638CC8C" w:rsidR="00102ABF" w:rsidRPr="00F62499" w:rsidRDefault="00F62499" w:rsidP="00102ABF">
      <w:pPr>
        <w:pStyle w:val="Normalindentado2"/>
        <w:ind w:left="0"/>
      </w:pPr>
      <w:r>
        <w:t xml:space="preserve">Se da por sentado que las plataformas móviles utilizadas son compatibles con la </w:t>
      </w:r>
      <w:proofErr w:type="gramStart"/>
      <w:r>
        <w:t>app</w:t>
      </w:r>
      <w:proofErr w:type="gramEnd"/>
      <w:r>
        <w:t xml:space="preserve"> </w:t>
      </w:r>
      <w:proofErr w:type="spellStart"/>
      <w:r>
        <w:t>Blynk</w:t>
      </w:r>
      <w:proofErr w:type="spellEnd"/>
      <w:r>
        <w:t xml:space="preserve"> (Android 6.0 o superior). En caso de obsolescencia o retiro del soporte de dicha </w:t>
      </w:r>
      <w:proofErr w:type="gramStart"/>
      <w:r>
        <w:t>app</w:t>
      </w:r>
      <w:proofErr w:type="gramEnd"/>
      <w:r>
        <w:t>, será necesario migrar a otro entorno de visualización</w:t>
      </w:r>
      <w:r w:rsidR="00102ABF">
        <w:t>.</w:t>
      </w:r>
    </w:p>
    <w:p w14:paraId="421DEEC7" w14:textId="77777777" w:rsidR="00482D99" w:rsidRDefault="00482D99" w:rsidP="00120057">
      <w:pPr>
        <w:pStyle w:val="Ttulo2"/>
      </w:pPr>
      <w:bookmarkStart w:id="32" w:name="_Toc532878323"/>
      <w:bookmarkStart w:id="33" w:name="_Toc33238245"/>
      <w:bookmarkStart w:id="34" w:name="_Toc33411072"/>
      <w:r>
        <w:t>Evolución previsible del sistema</w:t>
      </w:r>
      <w:bookmarkEnd w:id="32"/>
      <w:bookmarkEnd w:id="33"/>
      <w:bookmarkEnd w:id="34"/>
    </w:p>
    <w:p w14:paraId="02436C2D" w14:textId="77777777" w:rsidR="00102ABF" w:rsidRDefault="00102ABF" w:rsidP="00102ABF">
      <w:pPr>
        <w:pStyle w:val="Normalindentado2"/>
        <w:ind w:left="0"/>
      </w:pPr>
      <w:r>
        <w:t>Entre las posibles mejoras y ampliaciones del sistema SMACAR se proyectan las siguientes:</w:t>
      </w:r>
    </w:p>
    <w:p w14:paraId="6F99A774" w14:textId="77777777" w:rsidR="00102ABF" w:rsidRDefault="00102ABF" w:rsidP="00102ABF">
      <w:pPr>
        <w:pStyle w:val="Normalindentado2"/>
      </w:pPr>
    </w:p>
    <w:p w14:paraId="74B9F451" w14:textId="093DB04E" w:rsidR="00102ABF" w:rsidRDefault="00102ABF" w:rsidP="00102ABF">
      <w:pPr>
        <w:pStyle w:val="Normalindentado2"/>
        <w:ind w:left="0"/>
      </w:pPr>
      <w:r>
        <w:t xml:space="preserve"> Ampliación de parámetros medidos: Integración de sensores adicionales (por ejemplo, turbidez, oxígeno disuelto o temperatura) para una caracterización más completa del agua.</w:t>
      </w:r>
    </w:p>
    <w:p w14:paraId="1CDEBCD7" w14:textId="77777777" w:rsidR="00102ABF" w:rsidRDefault="00102ABF" w:rsidP="00102ABF">
      <w:pPr>
        <w:pStyle w:val="Normalindentado2"/>
      </w:pPr>
    </w:p>
    <w:p w14:paraId="27FF4FDC" w14:textId="319B6D3A" w:rsidR="00102ABF" w:rsidRDefault="00102ABF" w:rsidP="00102ABF">
      <w:pPr>
        <w:pStyle w:val="Normalindentado2"/>
        <w:ind w:left="0"/>
      </w:pPr>
      <w:r>
        <w:t xml:space="preserve">Conectividad híbrida: Inclusión de módulos de respaldo GSM/GPRS para zonas con cobertura celular parcial, combinando </w:t>
      </w:r>
      <w:proofErr w:type="spellStart"/>
      <w:r>
        <w:t>LoRa</w:t>
      </w:r>
      <w:proofErr w:type="spellEnd"/>
      <w:r>
        <w:t xml:space="preserve"> y redes móviles según disponibilidad.</w:t>
      </w:r>
    </w:p>
    <w:p w14:paraId="08A776E7" w14:textId="77777777" w:rsidR="00102ABF" w:rsidRDefault="00102ABF" w:rsidP="00102ABF">
      <w:pPr>
        <w:pStyle w:val="Normalindentado2"/>
      </w:pPr>
    </w:p>
    <w:p w14:paraId="1B893671" w14:textId="32BA11C7" w:rsidR="00102ABF" w:rsidRDefault="00102ABF" w:rsidP="00102ABF">
      <w:pPr>
        <w:pStyle w:val="Normalindentado2"/>
        <w:ind w:left="0"/>
      </w:pPr>
      <w:r>
        <w:t xml:space="preserve">Análisis predictivo: Implementación de algoritmos de machine </w:t>
      </w:r>
      <w:proofErr w:type="spellStart"/>
      <w:r>
        <w:t>learning</w:t>
      </w:r>
      <w:proofErr w:type="spellEnd"/>
      <w:r>
        <w:t xml:space="preserve"> en el servidor para anticipar eventos de contaminación en función del historial de datos y condiciones ambientales.</w:t>
      </w:r>
    </w:p>
    <w:p w14:paraId="79FA3B34" w14:textId="77777777" w:rsidR="00102ABF" w:rsidRDefault="00102ABF" w:rsidP="00102ABF">
      <w:pPr>
        <w:pStyle w:val="Normalindentado2"/>
        <w:ind w:left="0"/>
      </w:pPr>
    </w:p>
    <w:p w14:paraId="0FBE35E6" w14:textId="2748D29D" w:rsidR="00102ABF" w:rsidRDefault="00102ABF" w:rsidP="00102ABF">
      <w:pPr>
        <w:pStyle w:val="Normalindentado2"/>
        <w:ind w:left="0"/>
      </w:pPr>
      <w:r>
        <w:t>Escalabilidad en red: Desarrollo de una red de nodos interconectados para cobertura regional, con protocolos de sincronización y actualización remota del firmware (OTA).</w:t>
      </w:r>
    </w:p>
    <w:p w14:paraId="14692023" w14:textId="77777777" w:rsidR="00102ABF" w:rsidRDefault="00102ABF" w:rsidP="00102ABF">
      <w:pPr>
        <w:pStyle w:val="Normalindentado2"/>
      </w:pPr>
    </w:p>
    <w:p w14:paraId="1E0096D0" w14:textId="71C101A6" w:rsidR="00102ABF" w:rsidRPr="00102ABF" w:rsidRDefault="00102ABF" w:rsidP="00102ABF">
      <w:pPr>
        <w:pStyle w:val="Normalindentado2"/>
        <w:ind w:left="0"/>
      </w:pPr>
      <w:r>
        <w:t xml:space="preserve">Integración con plataformas gubernamentales: Adaptación de la arquitectura de datos para interoperar con sistemas nacionales de información ambiental o de salud pública mediante </w:t>
      </w:r>
      <w:proofErr w:type="spellStart"/>
      <w:r>
        <w:t>APIs</w:t>
      </w:r>
      <w:proofErr w:type="spellEnd"/>
      <w:r>
        <w:t xml:space="preserve"> estandarizadas.</w:t>
      </w:r>
    </w:p>
    <w:p w14:paraId="393211E0" w14:textId="77777777" w:rsidR="00482D99" w:rsidRDefault="00482D99" w:rsidP="00120057">
      <w:pPr>
        <w:pStyle w:val="Ttulo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Ttulo2"/>
      </w:pPr>
      <w:bookmarkStart w:id="43" w:name="_Toc33411074"/>
      <w:r>
        <w:t>Requisitos comunes de l</w:t>
      </w:r>
      <w:r w:rsidR="00513A27">
        <w:t>a</w:t>
      </w:r>
      <w:r>
        <w:t>s interfaces</w:t>
      </w:r>
      <w:bookmarkEnd w:id="43"/>
    </w:p>
    <w:p w14:paraId="7FC0393F" w14:textId="3E8C87D2" w:rsidR="00F93F2B" w:rsidRPr="00F93F2B" w:rsidRDefault="00F93F2B" w:rsidP="00F93F2B">
      <w:pPr>
        <w:pStyle w:val="Normalindentado2"/>
        <w:ind w:left="0"/>
        <w:jc w:val="both"/>
      </w:pPr>
      <w:r w:rsidRPr="00F93F2B">
        <w:t>El sistema SMACAR cuenta con un conjunto de interfaces que vinculan los distintos módulos funcionales, tanto a nivel de hardware como de software, permitiendo la adquisición, procesamiento, transmisión y visualización de datos relacionados con la calidad del agua. Estas interfaces incluyen entradas físicas de sensores, salidas de datos hacia plataformas remotas y elementos de interacción con el usuario a través de dispositivos móviles y navegadores web.</w:t>
      </w:r>
    </w:p>
    <w:p w14:paraId="71F91AEB" w14:textId="77777777" w:rsidR="00482D99" w:rsidRDefault="00482D99" w:rsidP="00120057">
      <w:pPr>
        <w:pStyle w:val="Ttulo3"/>
      </w:pPr>
      <w:bookmarkStart w:id="44" w:name="_Toc33238248"/>
      <w:bookmarkStart w:id="45" w:name="_Toc33411075"/>
      <w:r>
        <w:t>Interfaces de usuario</w:t>
      </w:r>
      <w:bookmarkEnd w:id="44"/>
      <w:bookmarkEnd w:id="45"/>
    </w:p>
    <w:p w14:paraId="3DDC6185" w14:textId="77777777" w:rsidR="00994EBD" w:rsidRDefault="00994EBD" w:rsidP="00994EBD">
      <w:pPr>
        <w:pStyle w:val="Normalindentado3"/>
        <w:ind w:left="0"/>
      </w:pPr>
      <w:r>
        <w:t>El sistema proporciona dos medios principales de interacción con el usuario:</w:t>
      </w:r>
    </w:p>
    <w:p w14:paraId="10B2230F" w14:textId="77777777" w:rsidR="00994EBD" w:rsidRDefault="00994EBD" w:rsidP="00994EBD">
      <w:pPr>
        <w:pStyle w:val="Normalindentado3"/>
        <w:ind w:left="0"/>
      </w:pPr>
    </w:p>
    <w:p w14:paraId="75820188" w14:textId="5672E46E" w:rsidR="00994EBD" w:rsidRDefault="00994EBD" w:rsidP="00994EBD">
      <w:pPr>
        <w:pStyle w:val="Normalindentado3"/>
        <w:ind w:left="0"/>
      </w:pPr>
      <w:r>
        <w:t>a. Aplicación móvil (</w:t>
      </w:r>
      <w:proofErr w:type="spellStart"/>
      <w:r>
        <w:t>Blynk</w:t>
      </w:r>
      <w:proofErr w:type="spellEnd"/>
      <w:r>
        <w:t>):</w:t>
      </w:r>
    </w:p>
    <w:p w14:paraId="1781B89E" w14:textId="77777777" w:rsidR="00994EBD" w:rsidRDefault="00994EBD" w:rsidP="00994EBD">
      <w:pPr>
        <w:pStyle w:val="Normalindentado3"/>
      </w:pPr>
    </w:p>
    <w:p w14:paraId="669442C3" w14:textId="5007186F" w:rsidR="00994EBD" w:rsidRDefault="00994EBD" w:rsidP="00994EBD">
      <w:pPr>
        <w:pStyle w:val="Normalindentado3"/>
        <w:ind w:left="0"/>
      </w:pPr>
      <w:r>
        <w:t>Plataforma: Android (versión 6.0 o superior).</w:t>
      </w:r>
    </w:p>
    <w:p w14:paraId="60D229F9" w14:textId="77777777" w:rsidR="00994EBD" w:rsidRDefault="00994EBD" w:rsidP="00994EBD">
      <w:pPr>
        <w:pStyle w:val="Normalindentado3"/>
      </w:pPr>
    </w:p>
    <w:p w14:paraId="79A12E50" w14:textId="37A56162" w:rsidR="00994EBD" w:rsidRDefault="00994EBD" w:rsidP="00994EBD">
      <w:pPr>
        <w:pStyle w:val="Normalindentado3"/>
        <w:ind w:left="0"/>
      </w:pPr>
      <w:r>
        <w:t xml:space="preserve">Interfaz visual: Tablero personalizable con widgets que muestran los valores de pH, conductividad, TDS, estado de batería y calidad de la señal </w:t>
      </w:r>
      <w:proofErr w:type="spellStart"/>
      <w:r>
        <w:t>LoRa</w:t>
      </w:r>
      <w:proofErr w:type="spellEnd"/>
      <w:r>
        <w:t>.</w:t>
      </w:r>
    </w:p>
    <w:p w14:paraId="377AB2BE" w14:textId="77777777" w:rsidR="00994EBD" w:rsidRDefault="00994EBD" w:rsidP="00994EBD">
      <w:pPr>
        <w:pStyle w:val="Normalindentado3"/>
      </w:pPr>
    </w:p>
    <w:p w14:paraId="7927EA47" w14:textId="3594456D" w:rsidR="00994EBD" w:rsidRDefault="00994EBD" w:rsidP="00994EBD">
      <w:pPr>
        <w:pStyle w:val="Normalindentado3"/>
        <w:ind w:left="0"/>
      </w:pPr>
      <w:r>
        <w:t>Interacción: Los usuarios pueden visualizar en tiempo real las mediciones, recibir alertas visuales/sonoras cuando los parámetros sobrepasan umbrales definidos, y consultar el historial de datos.</w:t>
      </w:r>
    </w:p>
    <w:p w14:paraId="0B539C09" w14:textId="77777777" w:rsidR="00994EBD" w:rsidRDefault="00994EBD" w:rsidP="00994EBD">
      <w:pPr>
        <w:pStyle w:val="Normalindentado3"/>
      </w:pPr>
    </w:p>
    <w:p w14:paraId="2195AAA9" w14:textId="036BDB37" w:rsidR="00994EBD" w:rsidRDefault="00994EBD" w:rsidP="00994EBD">
      <w:pPr>
        <w:pStyle w:val="Normalindentado3"/>
        <w:ind w:left="0"/>
      </w:pPr>
      <w:r>
        <w:t>Estética: Uso de colores estándar para codificación de niveles (verde para normal, amarillo para advertencia, rojo para crítico), con una distribución vertical de widgets.</w:t>
      </w:r>
    </w:p>
    <w:p w14:paraId="66C57DAB" w14:textId="77777777" w:rsidR="00994EBD" w:rsidRDefault="00994EBD" w:rsidP="00994EBD">
      <w:pPr>
        <w:pStyle w:val="Normalindentado3"/>
        <w:ind w:left="0"/>
      </w:pPr>
    </w:p>
    <w:p w14:paraId="742E32D9" w14:textId="77777777" w:rsidR="00994EBD" w:rsidRDefault="00994EBD" w:rsidP="00994EBD">
      <w:pPr>
        <w:pStyle w:val="Normalindentado3"/>
        <w:ind w:left="0"/>
      </w:pPr>
    </w:p>
    <w:p w14:paraId="5D651F5D" w14:textId="77777777" w:rsidR="00994EBD" w:rsidRDefault="00994EBD" w:rsidP="00994EBD">
      <w:pPr>
        <w:pStyle w:val="Normalindentado3"/>
        <w:ind w:left="0"/>
      </w:pPr>
    </w:p>
    <w:p w14:paraId="05C0E160" w14:textId="77777777" w:rsidR="00994EBD" w:rsidRDefault="00994EBD" w:rsidP="00994EBD">
      <w:pPr>
        <w:pStyle w:val="Normalindentado3"/>
      </w:pPr>
    </w:p>
    <w:p w14:paraId="5392DA65" w14:textId="77777777" w:rsidR="00994EBD" w:rsidRDefault="00994EBD" w:rsidP="00994EBD">
      <w:pPr>
        <w:pStyle w:val="Normalindentado3"/>
        <w:ind w:left="0"/>
      </w:pPr>
      <w:r>
        <w:lastRenderedPageBreak/>
        <w:t>b. Plataforma web (</w:t>
      </w:r>
      <w:proofErr w:type="spellStart"/>
      <w:r>
        <w:t>Node</w:t>
      </w:r>
      <w:proofErr w:type="spellEnd"/>
      <w:r>
        <w:t>-RED):</w:t>
      </w:r>
    </w:p>
    <w:p w14:paraId="43D12936" w14:textId="77777777" w:rsidR="00994EBD" w:rsidRDefault="00994EBD" w:rsidP="00994EBD">
      <w:pPr>
        <w:pStyle w:val="Normalindentado3"/>
      </w:pPr>
    </w:p>
    <w:p w14:paraId="4A26D243" w14:textId="4D3792FC" w:rsidR="00994EBD" w:rsidRDefault="00994EBD" w:rsidP="00994EBD">
      <w:pPr>
        <w:pStyle w:val="Normalindentado3"/>
        <w:ind w:left="0"/>
      </w:pPr>
      <w:r>
        <w:t xml:space="preserve">Acceso remoto: </w:t>
      </w:r>
      <w:r>
        <w:t>vía navegadora</w:t>
      </w:r>
      <w:r>
        <w:t xml:space="preserve"> desde cualquier dispositivo con conexión a la red del servidor local o VPN.</w:t>
      </w:r>
    </w:p>
    <w:p w14:paraId="4E5D1F6B" w14:textId="77777777" w:rsidR="00994EBD" w:rsidRDefault="00994EBD" w:rsidP="00994EBD">
      <w:pPr>
        <w:pStyle w:val="Normalindentado3"/>
      </w:pPr>
    </w:p>
    <w:p w14:paraId="658B25DC" w14:textId="7FB40097" w:rsidR="00994EBD" w:rsidRDefault="00994EBD" w:rsidP="00994EBD">
      <w:pPr>
        <w:pStyle w:val="Normalindentado3"/>
        <w:ind w:left="0"/>
      </w:pPr>
      <w:proofErr w:type="spellStart"/>
      <w:r>
        <w:t>Dashboard</w:t>
      </w:r>
      <w:proofErr w:type="spellEnd"/>
      <w:r>
        <w:t>: Panel con gráficas temporales, lecturas en tiempo real, estado del sistema y log de eventos.</w:t>
      </w:r>
    </w:p>
    <w:p w14:paraId="26384888" w14:textId="77777777" w:rsidR="00994EBD" w:rsidRDefault="00994EBD" w:rsidP="00994EBD">
      <w:pPr>
        <w:pStyle w:val="Normalindentado3"/>
      </w:pPr>
    </w:p>
    <w:p w14:paraId="38993921" w14:textId="10296776" w:rsidR="00994EBD" w:rsidRPr="00994EBD" w:rsidRDefault="00994EBD" w:rsidP="00994EBD">
      <w:pPr>
        <w:pStyle w:val="Normalindentado3"/>
        <w:ind w:left="0"/>
      </w:pPr>
      <w:r>
        <w:t>Seguridad: Acceso protegido mediante autenticación de usuario y cifrado HTTPS (cuando se despliegue en entornos externos).</w:t>
      </w:r>
    </w:p>
    <w:p w14:paraId="59BB4DC4" w14:textId="77777777" w:rsidR="00482D99" w:rsidRDefault="00482D99" w:rsidP="00120057">
      <w:pPr>
        <w:pStyle w:val="Ttulo3"/>
      </w:pPr>
      <w:bookmarkStart w:id="46" w:name="_Toc33411076"/>
      <w:r>
        <w:t>Interfaces de hardware</w:t>
      </w:r>
      <w:bookmarkEnd w:id="46"/>
    </w:p>
    <w:p w14:paraId="1C0E7821" w14:textId="77777777" w:rsidR="005E69D9" w:rsidRDefault="005E69D9" w:rsidP="005E69D9">
      <w:pPr>
        <w:pStyle w:val="Normalindentado3"/>
        <w:ind w:left="0"/>
      </w:pPr>
      <w:r>
        <w:t xml:space="preserve">Las interfaces de hardware están definidas por las conexiones físicas entre el microcontrolador ESP32 y los distintos módulos periféricos. A </w:t>
      </w:r>
      <w:proofErr w:type="gramStart"/>
      <w:r>
        <w:t>continuación</w:t>
      </w:r>
      <w:proofErr w:type="gramEnd"/>
      <w:r>
        <w:t xml:space="preserve"> se describen las principales:</w:t>
      </w:r>
    </w:p>
    <w:p w14:paraId="722339F1" w14:textId="77777777" w:rsidR="005E69D9" w:rsidRDefault="005E69D9" w:rsidP="005E69D9">
      <w:pPr>
        <w:pStyle w:val="Normalindentado3"/>
      </w:pPr>
    </w:p>
    <w:p w14:paraId="4C72B5FB" w14:textId="2B805F7A" w:rsidR="005E69D9" w:rsidRDefault="005E69D9" w:rsidP="005E69D9">
      <w:pPr>
        <w:pStyle w:val="Normalindentado3"/>
        <w:ind w:left="0"/>
      </w:pPr>
      <w:r>
        <w:t>Sensores analógicos:</w:t>
      </w:r>
    </w:p>
    <w:p w14:paraId="67BC3985" w14:textId="77777777" w:rsidR="005E69D9" w:rsidRDefault="005E69D9" w:rsidP="005E69D9">
      <w:pPr>
        <w:pStyle w:val="Normalindentado3"/>
      </w:pPr>
    </w:p>
    <w:p w14:paraId="3AF78D44" w14:textId="40672CFB" w:rsidR="005E69D9" w:rsidRDefault="005E69D9" w:rsidP="005E69D9">
      <w:pPr>
        <w:pStyle w:val="Normalindentado3"/>
        <w:ind w:left="0"/>
      </w:pPr>
      <w:r>
        <w:t>pH y conductividad/TDS: conectados a entradas analógicas mediante módulos acondicionadores de señal compatibles (p.ej., SEN0161 y DFR0300).</w:t>
      </w:r>
    </w:p>
    <w:p w14:paraId="45F33D66" w14:textId="77777777" w:rsidR="005E69D9" w:rsidRDefault="005E69D9" w:rsidP="005E69D9">
      <w:pPr>
        <w:pStyle w:val="Normalindentado3"/>
      </w:pPr>
    </w:p>
    <w:p w14:paraId="1F8747C6" w14:textId="54476A2D" w:rsidR="005E69D9" w:rsidRDefault="005E69D9" w:rsidP="005E69D9">
      <w:pPr>
        <w:pStyle w:val="Normalindentado3"/>
        <w:ind w:left="0"/>
      </w:pPr>
      <w:r>
        <w:t>Rango de entrada: 0–3.3 VDC (adaptado al ADC interno del ESP32).</w:t>
      </w:r>
    </w:p>
    <w:p w14:paraId="23D948FA" w14:textId="77777777" w:rsidR="005E69D9" w:rsidRDefault="005E69D9" w:rsidP="005E69D9">
      <w:pPr>
        <w:pStyle w:val="Normalindentado3"/>
      </w:pPr>
    </w:p>
    <w:p w14:paraId="61D174B0" w14:textId="52C1188A" w:rsidR="005E69D9" w:rsidRDefault="005E69D9" w:rsidP="005E69D9">
      <w:pPr>
        <w:pStyle w:val="Normalindentado3"/>
        <w:ind w:left="0"/>
      </w:pPr>
      <w:r>
        <w:t>Calibración: vía software, empleando soluciones buffer y coeficientes de corrección.</w:t>
      </w:r>
    </w:p>
    <w:p w14:paraId="0D32B381" w14:textId="77777777" w:rsidR="005E69D9" w:rsidRDefault="005E69D9" w:rsidP="005E69D9">
      <w:pPr>
        <w:pStyle w:val="Normalindentado3"/>
        <w:ind w:left="0"/>
      </w:pPr>
    </w:p>
    <w:p w14:paraId="47E4225C" w14:textId="2DB17DC5" w:rsidR="005E69D9" w:rsidRDefault="005E69D9" w:rsidP="005E69D9">
      <w:pPr>
        <w:pStyle w:val="Normalindentado3"/>
        <w:ind w:left="0"/>
      </w:pPr>
      <w:r>
        <w:t xml:space="preserve">Módulo </w:t>
      </w:r>
      <w:proofErr w:type="spellStart"/>
      <w:r>
        <w:t>LoRa</w:t>
      </w:r>
      <w:proofErr w:type="spellEnd"/>
      <w:r>
        <w:t xml:space="preserve"> (RFM95 o equivalente):</w:t>
      </w:r>
    </w:p>
    <w:p w14:paraId="7D65647E" w14:textId="77777777" w:rsidR="005E69D9" w:rsidRDefault="005E69D9" w:rsidP="005E69D9">
      <w:pPr>
        <w:pStyle w:val="Normalindentado3"/>
        <w:ind w:left="0"/>
      </w:pPr>
    </w:p>
    <w:p w14:paraId="2637391E" w14:textId="2375E881" w:rsidR="005E69D9" w:rsidRDefault="005E69D9" w:rsidP="005E69D9">
      <w:pPr>
        <w:pStyle w:val="Normalindentado3"/>
        <w:ind w:left="0"/>
      </w:pPr>
      <w:r>
        <w:t xml:space="preserve">Interfaz SPI (Serial </w:t>
      </w:r>
      <w:proofErr w:type="spellStart"/>
      <w:r>
        <w:t>Peripheral</w:t>
      </w:r>
      <w:proofErr w:type="spellEnd"/>
      <w:r>
        <w:t xml:space="preserve"> </w:t>
      </w:r>
      <w:proofErr w:type="gramStart"/>
      <w:r>
        <w:t>Interface</w:t>
      </w:r>
      <w:proofErr w:type="gramEnd"/>
      <w:r>
        <w:t>).</w:t>
      </w:r>
    </w:p>
    <w:p w14:paraId="2F96EB6C" w14:textId="77777777" w:rsidR="005E69D9" w:rsidRDefault="005E69D9" w:rsidP="005E69D9">
      <w:pPr>
        <w:pStyle w:val="Normalindentado3"/>
      </w:pPr>
    </w:p>
    <w:p w14:paraId="4BD25890" w14:textId="527CEAE9" w:rsidR="005E69D9" w:rsidRDefault="005E69D9" w:rsidP="005E69D9">
      <w:pPr>
        <w:pStyle w:val="Normalindentado3"/>
        <w:ind w:left="0"/>
      </w:pPr>
      <w:r>
        <w:t>Frecuencia de operación: 915 MHz (banda ISM).</w:t>
      </w:r>
    </w:p>
    <w:p w14:paraId="5F9C6D58" w14:textId="77777777" w:rsidR="005E69D9" w:rsidRDefault="005E69D9" w:rsidP="005E69D9">
      <w:pPr>
        <w:pStyle w:val="Normalindentado3"/>
      </w:pPr>
    </w:p>
    <w:p w14:paraId="0F1BAB6E" w14:textId="0A28F545" w:rsidR="005E69D9" w:rsidRDefault="005E69D9" w:rsidP="005E69D9">
      <w:pPr>
        <w:pStyle w:val="Normalindentado3"/>
        <w:ind w:left="0"/>
      </w:pPr>
      <w:r>
        <w:t>Configuración por software (dirección del nodo, canal, SF y BW).</w:t>
      </w:r>
    </w:p>
    <w:p w14:paraId="545926E8" w14:textId="77777777" w:rsidR="005E69D9" w:rsidRDefault="005E69D9" w:rsidP="005E69D9">
      <w:pPr>
        <w:pStyle w:val="Normalindentado3"/>
        <w:ind w:left="0"/>
      </w:pPr>
    </w:p>
    <w:p w14:paraId="26CCC5D4" w14:textId="703C4CBF" w:rsidR="005E69D9" w:rsidRDefault="005E69D9" w:rsidP="005E69D9">
      <w:pPr>
        <w:pStyle w:val="Normalindentado3"/>
        <w:ind w:left="0"/>
      </w:pPr>
      <w:r>
        <w:t>Panel solar y sistema energético:</w:t>
      </w:r>
    </w:p>
    <w:p w14:paraId="18CE28F7" w14:textId="77777777" w:rsidR="005E69D9" w:rsidRDefault="005E69D9" w:rsidP="005E69D9">
      <w:pPr>
        <w:pStyle w:val="Normalindentado3"/>
      </w:pPr>
    </w:p>
    <w:p w14:paraId="38064221" w14:textId="6D29018C" w:rsidR="005E69D9" w:rsidRDefault="005E69D9" w:rsidP="005E69D9">
      <w:pPr>
        <w:pStyle w:val="Normalindentado3"/>
        <w:ind w:left="0"/>
      </w:pPr>
      <w:r>
        <w:t>Entrada de 5 VDC desde panel solar.</w:t>
      </w:r>
    </w:p>
    <w:p w14:paraId="6323C0E1" w14:textId="77777777" w:rsidR="005E69D9" w:rsidRDefault="005E69D9" w:rsidP="005E69D9">
      <w:pPr>
        <w:pStyle w:val="Normalindentado3"/>
      </w:pPr>
    </w:p>
    <w:p w14:paraId="6DAB7038" w14:textId="2E6D51D7" w:rsidR="005E69D9" w:rsidRDefault="005E69D9" w:rsidP="005E69D9">
      <w:pPr>
        <w:pStyle w:val="Normalindentado3"/>
        <w:ind w:left="0"/>
      </w:pPr>
      <w:r>
        <w:t>Carga de batería Li-Ion 3.7V mediante módulo de gestión (TP4056 o equivalente).</w:t>
      </w:r>
    </w:p>
    <w:p w14:paraId="448EDDBA" w14:textId="77777777" w:rsidR="005E69D9" w:rsidRDefault="005E69D9" w:rsidP="005E69D9">
      <w:pPr>
        <w:pStyle w:val="Normalindentado3"/>
        <w:ind w:left="0"/>
      </w:pPr>
    </w:p>
    <w:p w14:paraId="71621CAB" w14:textId="2E2E62BE" w:rsidR="005E69D9" w:rsidRPr="005E69D9" w:rsidRDefault="005E69D9" w:rsidP="005E69D9">
      <w:pPr>
        <w:pStyle w:val="Normalindentado3"/>
        <w:ind w:left="0"/>
      </w:pPr>
      <w:r>
        <w:t>Monitoreo del voltaje de batería mediante divisor resistivo y ADC.</w:t>
      </w:r>
    </w:p>
    <w:p w14:paraId="15C8CEDF" w14:textId="77777777" w:rsidR="00482D99" w:rsidRDefault="00482D99" w:rsidP="00120057">
      <w:pPr>
        <w:pStyle w:val="Ttulo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Ttulo3"/>
      </w:pPr>
      <w:bookmarkStart w:id="48" w:name="_Toc33411078"/>
      <w:r>
        <w:t>Interfaces de comunicación</w:t>
      </w:r>
      <w:bookmarkEnd w:id="48"/>
    </w:p>
    <w:p w14:paraId="302ABDBC" w14:textId="77777777" w:rsidR="00E6000C" w:rsidRDefault="00E6000C" w:rsidP="00E6000C">
      <w:pPr>
        <w:pStyle w:val="Normalindentado3"/>
      </w:pPr>
      <w:r>
        <w:t>El sistema utiliza los siguientes protocolos de comunicación:</w:t>
      </w:r>
    </w:p>
    <w:p w14:paraId="72BDB115" w14:textId="77777777" w:rsidR="00E6000C" w:rsidRDefault="00E6000C" w:rsidP="00E6000C">
      <w:pPr>
        <w:pStyle w:val="Normalindentado3"/>
      </w:pPr>
    </w:p>
    <w:p w14:paraId="723F6005" w14:textId="77777777" w:rsidR="00E6000C" w:rsidRDefault="00E6000C" w:rsidP="00E6000C">
      <w:pPr>
        <w:pStyle w:val="Normalindentado3"/>
      </w:pPr>
      <w:r>
        <w:t xml:space="preserve">    </w:t>
      </w:r>
      <w:proofErr w:type="spellStart"/>
      <w:r>
        <w:t>LoRaWAN</w:t>
      </w:r>
      <w:proofErr w:type="spellEnd"/>
      <w:r>
        <w:t>:</w:t>
      </w:r>
    </w:p>
    <w:p w14:paraId="0453A784" w14:textId="77777777" w:rsidR="00E6000C" w:rsidRDefault="00E6000C" w:rsidP="00E6000C">
      <w:pPr>
        <w:pStyle w:val="Normalindentado3"/>
      </w:pPr>
    </w:p>
    <w:p w14:paraId="184E24A2" w14:textId="77777777" w:rsidR="00E6000C" w:rsidRDefault="00E6000C" w:rsidP="00E6000C">
      <w:pPr>
        <w:pStyle w:val="Normalindentado3"/>
      </w:pPr>
      <w:r>
        <w:t xml:space="preserve">        Protocolo de red de área extensa de baja potencia.</w:t>
      </w:r>
    </w:p>
    <w:p w14:paraId="08E01EBE" w14:textId="77777777" w:rsidR="00E6000C" w:rsidRDefault="00E6000C" w:rsidP="00E6000C">
      <w:pPr>
        <w:pStyle w:val="Normalindentado3"/>
      </w:pPr>
    </w:p>
    <w:p w14:paraId="190801DE" w14:textId="77777777" w:rsidR="00E6000C" w:rsidRDefault="00E6000C" w:rsidP="00E6000C">
      <w:pPr>
        <w:pStyle w:val="Normalindentado3"/>
      </w:pPr>
      <w:r>
        <w:t xml:space="preserve">        Frecuencia: 915 MHz.</w:t>
      </w:r>
    </w:p>
    <w:p w14:paraId="633C66E1" w14:textId="77777777" w:rsidR="00E6000C" w:rsidRDefault="00E6000C" w:rsidP="00E6000C">
      <w:pPr>
        <w:pStyle w:val="Normalindentado3"/>
      </w:pPr>
    </w:p>
    <w:p w14:paraId="1F43BFA6" w14:textId="77777777" w:rsidR="00E6000C" w:rsidRDefault="00E6000C" w:rsidP="00E6000C">
      <w:pPr>
        <w:pStyle w:val="Normalindentado3"/>
      </w:pPr>
      <w:r>
        <w:lastRenderedPageBreak/>
        <w:t xml:space="preserve">        Modulación: </w:t>
      </w:r>
      <w:proofErr w:type="spellStart"/>
      <w:r>
        <w:t>Chirp</w:t>
      </w:r>
      <w:proofErr w:type="spellEnd"/>
      <w:r>
        <w:t xml:space="preserve"> Spread </w:t>
      </w:r>
      <w:proofErr w:type="spellStart"/>
      <w:r>
        <w:t>Spectrum</w:t>
      </w:r>
      <w:proofErr w:type="spellEnd"/>
      <w:r>
        <w:t xml:space="preserve"> (CSS).</w:t>
      </w:r>
    </w:p>
    <w:p w14:paraId="051C0B17" w14:textId="77777777" w:rsidR="00E6000C" w:rsidRDefault="00E6000C" w:rsidP="00E6000C">
      <w:pPr>
        <w:pStyle w:val="Normalindentado3"/>
      </w:pPr>
    </w:p>
    <w:p w14:paraId="1FE22548" w14:textId="77777777" w:rsidR="00E6000C" w:rsidRDefault="00E6000C" w:rsidP="00E6000C">
      <w:pPr>
        <w:pStyle w:val="Normalindentado3"/>
      </w:pPr>
      <w:r>
        <w:t xml:space="preserve">        Configuración: SF7–SF12 según entorno, BW 125 kHz.</w:t>
      </w:r>
    </w:p>
    <w:p w14:paraId="41BD1046" w14:textId="77777777" w:rsidR="00E6000C" w:rsidRDefault="00E6000C" w:rsidP="00E6000C">
      <w:pPr>
        <w:pStyle w:val="Normalindentado3"/>
      </w:pPr>
    </w:p>
    <w:p w14:paraId="0D263476" w14:textId="77777777" w:rsidR="00E6000C" w:rsidRDefault="00E6000C" w:rsidP="00E6000C">
      <w:pPr>
        <w:pStyle w:val="Normalindentado3"/>
      </w:pPr>
      <w:r>
        <w:t xml:space="preserve">        Función: transmisión de paquetes de datos desde el nodo hacia el </w:t>
      </w:r>
      <w:proofErr w:type="spellStart"/>
      <w:r>
        <w:t>gateway</w:t>
      </w:r>
      <w:proofErr w:type="spellEnd"/>
      <w:r>
        <w:t>.</w:t>
      </w:r>
    </w:p>
    <w:p w14:paraId="0DB73CFB" w14:textId="77777777" w:rsidR="00E6000C" w:rsidRDefault="00E6000C" w:rsidP="00E6000C">
      <w:pPr>
        <w:pStyle w:val="Normalindentado3"/>
      </w:pPr>
    </w:p>
    <w:p w14:paraId="49AB1FCE" w14:textId="77777777" w:rsidR="00E6000C" w:rsidRDefault="00E6000C" w:rsidP="00E6000C">
      <w:pPr>
        <w:pStyle w:val="Normalindentado3"/>
      </w:pPr>
      <w:r>
        <w:t xml:space="preserve">    Serial UART (modo </w:t>
      </w:r>
      <w:proofErr w:type="spellStart"/>
      <w:r>
        <w:t>debug</w:t>
      </w:r>
      <w:proofErr w:type="spellEnd"/>
      <w:r>
        <w:t>):</w:t>
      </w:r>
    </w:p>
    <w:p w14:paraId="44F00BA2" w14:textId="77777777" w:rsidR="00E6000C" w:rsidRDefault="00E6000C" w:rsidP="00E6000C">
      <w:pPr>
        <w:pStyle w:val="Normalindentado3"/>
      </w:pPr>
    </w:p>
    <w:p w14:paraId="47FB31F9" w14:textId="77777777" w:rsidR="00E6000C" w:rsidRDefault="00E6000C" w:rsidP="00E6000C">
      <w:pPr>
        <w:pStyle w:val="Normalindentado3"/>
      </w:pPr>
      <w:r>
        <w:t xml:space="preserve">        Conexión entre el ESP32 y la computadora para programación y pruebas.</w:t>
      </w:r>
    </w:p>
    <w:p w14:paraId="0AB8FB6C" w14:textId="77777777" w:rsidR="00E6000C" w:rsidRDefault="00E6000C" w:rsidP="00E6000C">
      <w:pPr>
        <w:pStyle w:val="Normalindentado3"/>
      </w:pPr>
    </w:p>
    <w:p w14:paraId="7592092A" w14:textId="77777777" w:rsidR="00E6000C" w:rsidRDefault="00E6000C" w:rsidP="00E6000C">
      <w:pPr>
        <w:pStyle w:val="Normalindentado3"/>
      </w:pPr>
      <w:r>
        <w:t xml:space="preserve">        Velocidad típica: 115200 baudios.</w:t>
      </w:r>
    </w:p>
    <w:p w14:paraId="7E769387" w14:textId="77777777" w:rsidR="00E6000C" w:rsidRDefault="00E6000C" w:rsidP="00E6000C">
      <w:pPr>
        <w:pStyle w:val="Normalindentado3"/>
      </w:pPr>
    </w:p>
    <w:p w14:paraId="2606AB3D" w14:textId="77777777" w:rsidR="00E6000C" w:rsidRDefault="00E6000C" w:rsidP="00E6000C">
      <w:pPr>
        <w:pStyle w:val="Normalindentado3"/>
      </w:pPr>
      <w:r>
        <w:t xml:space="preserve">        Propósito: carga de firmware, visualización de logs y calibración de sensores.</w:t>
      </w:r>
    </w:p>
    <w:p w14:paraId="68E40D1D" w14:textId="77777777" w:rsidR="00E6000C" w:rsidRDefault="00E6000C" w:rsidP="00E6000C">
      <w:pPr>
        <w:pStyle w:val="Normalindentado3"/>
      </w:pPr>
    </w:p>
    <w:p w14:paraId="0FD7F618" w14:textId="77777777" w:rsidR="00E6000C" w:rsidRDefault="00E6000C" w:rsidP="00E6000C">
      <w:pPr>
        <w:pStyle w:val="Normalindentado3"/>
      </w:pPr>
      <w:r>
        <w:t xml:space="preserve">    MQTT (en entorno ampliado):</w:t>
      </w:r>
    </w:p>
    <w:p w14:paraId="6B08A10D" w14:textId="77777777" w:rsidR="00E6000C" w:rsidRDefault="00E6000C" w:rsidP="00E6000C">
      <w:pPr>
        <w:pStyle w:val="Normalindentado3"/>
      </w:pPr>
    </w:p>
    <w:p w14:paraId="4517619D" w14:textId="77777777" w:rsidR="00E6000C" w:rsidRDefault="00E6000C" w:rsidP="00E6000C">
      <w:pPr>
        <w:pStyle w:val="Normalindentado3"/>
      </w:pPr>
      <w:r>
        <w:t xml:space="preserve">        Protocolo ligero para telemetría (no implementado en prototipo inicial, pero previsto en futuras versiones).</w:t>
      </w:r>
    </w:p>
    <w:p w14:paraId="2D08A179" w14:textId="77777777" w:rsidR="00E6000C" w:rsidRDefault="00E6000C" w:rsidP="00E6000C">
      <w:pPr>
        <w:pStyle w:val="Normalindentado3"/>
      </w:pPr>
    </w:p>
    <w:p w14:paraId="5FFF4A9A" w14:textId="3F2765D7" w:rsidR="00E6000C" w:rsidRPr="00E6000C" w:rsidRDefault="00E6000C" w:rsidP="00E6000C">
      <w:pPr>
        <w:pStyle w:val="Normalindentado3"/>
        <w:ind w:left="0"/>
      </w:pPr>
      <w:r>
        <w:t xml:space="preserve">        Utilizado para integrar múltiples nodos y gestionar información desde un servidor central.</w:t>
      </w:r>
    </w:p>
    <w:p w14:paraId="74E55F94" w14:textId="77777777" w:rsidR="00482D99" w:rsidRDefault="00482D99" w:rsidP="00120057">
      <w:pPr>
        <w:pStyle w:val="Ttulo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718D84B6" w14:textId="77777777" w:rsidR="00482D99" w:rsidRDefault="00482D99" w:rsidP="00120057">
      <w:pPr>
        <w:pStyle w:val="Ttulo3"/>
      </w:pPr>
      <w:bookmarkStart w:id="51" w:name="_Toc33238253"/>
      <w:bookmarkStart w:id="52" w:name="_Toc33411080"/>
      <w:r>
        <w:t>Requisito funcional 1</w:t>
      </w:r>
      <w:bookmarkEnd w:id="51"/>
      <w:bookmarkEnd w:id="52"/>
    </w:p>
    <w:p w14:paraId="5D293200" w14:textId="77777777" w:rsidR="00482D99" w:rsidRDefault="00482D99" w:rsidP="00120057">
      <w:pPr>
        <w:pStyle w:val="Ttulo3"/>
      </w:pPr>
      <w:bookmarkStart w:id="53" w:name="_Toc33411081"/>
      <w:r>
        <w:t>Requisito funcional 2</w:t>
      </w:r>
      <w:bookmarkEnd w:id="53"/>
    </w:p>
    <w:p w14:paraId="10701BD2" w14:textId="77777777" w:rsidR="00482D99" w:rsidRDefault="00482D99" w:rsidP="00120057">
      <w:pPr>
        <w:pStyle w:val="Ttulo3"/>
      </w:pPr>
      <w:bookmarkStart w:id="54" w:name="_Toc33411082"/>
      <w:r>
        <w:t>Requisito funcional 3</w:t>
      </w:r>
      <w:bookmarkEnd w:id="54"/>
    </w:p>
    <w:p w14:paraId="37E7F765" w14:textId="77777777" w:rsidR="00482D99" w:rsidRDefault="00482D99" w:rsidP="00120057">
      <w:pPr>
        <w:pStyle w:val="Ttulo3"/>
      </w:pPr>
      <w:bookmarkStart w:id="55" w:name="_Toc33411083"/>
      <w:r>
        <w:t>Requisito funcional n</w:t>
      </w:r>
      <w:bookmarkEnd w:id="55"/>
    </w:p>
    <w:p w14:paraId="590AA8B2" w14:textId="77777777" w:rsidR="00482D99" w:rsidRDefault="00482D99" w:rsidP="00120057">
      <w:pPr>
        <w:pStyle w:val="Ttulo2"/>
      </w:pPr>
      <w:bookmarkStart w:id="56" w:name="_Toc33238257"/>
      <w:bookmarkStart w:id="57" w:name="_Toc33411084"/>
      <w:r>
        <w:t>Requisitos no funcionales</w:t>
      </w:r>
      <w:bookmarkEnd w:id="56"/>
      <w:bookmarkEnd w:id="57"/>
    </w:p>
    <w:p w14:paraId="08F687B0" w14:textId="77777777" w:rsidR="00482D99" w:rsidRDefault="00482D99" w:rsidP="00120057">
      <w:pPr>
        <w:pStyle w:val="Ttulo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lastRenderedPageBreak/>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Ttulo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Ttulo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Ttulo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Ttulo3"/>
      </w:pPr>
      <w:bookmarkStart w:id="66" w:name="_Toc33238262"/>
      <w:bookmarkStart w:id="67" w:name="_Toc33411089"/>
      <w:r>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Ttulo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Ttulo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Ttulo3"/>
      </w:pPr>
      <w:bookmarkStart w:id="71" w:name="_Toc33238265"/>
      <w:bookmarkStart w:id="72" w:name="_Toc33411092"/>
      <w:r>
        <w:lastRenderedPageBreak/>
        <w:t>Requisitos legales</w:t>
      </w:r>
    </w:p>
    <w:p w14:paraId="48BD6B9E" w14:textId="4F1A3F6D" w:rsidR="00026A40" w:rsidRDefault="001564DD" w:rsidP="00026A40">
      <w:pPr>
        <w:pStyle w:val="Ttulo3"/>
      </w:pPr>
      <w:r>
        <w:t>Requisitos culturales</w:t>
      </w:r>
    </w:p>
    <w:p w14:paraId="6CBA78E9" w14:textId="46588BD4" w:rsidR="00026A40" w:rsidRDefault="001564DD" w:rsidP="00026A40">
      <w:pPr>
        <w:pStyle w:val="Ttulo3"/>
      </w:pPr>
      <w:r>
        <w:t>Otros requisitos</w:t>
      </w:r>
    </w:p>
    <w:p w14:paraId="433B60BD" w14:textId="77777777" w:rsidR="00482D99" w:rsidRDefault="00482D99" w:rsidP="00120057">
      <w:pPr>
        <w:pStyle w:val="Ttulo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38149" w14:textId="77777777" w:rsidR="003918CB" w:rsidRDefault="003918CB">
      <w:r>
        <w:separator/>
      </w:r>
    </w:p>
  </w:endnote>
  <w:endnote w:type="continuationSeparator" w:id="0">
    <w:p w14:paraId="72F9801D" w14:textId="77777777" w:rsidR="003918CB" w:rsidRDefault="00391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04E6916" w14:textId="77777777">
      <w:tc>
        <w:tcPr>
          <w:tcW w:w="1947" w:type="dxa"/>
          <w:tcMar>
            <w:top w:w="68" w:type="dxa"/>
            <w:bottom w:w="68" w:type="dxa"/>
          </w:tcMar>
        </w:tcPr>
        <w:p w14:paraId="02CA8661" w14:textId="77777777" w:rsidR="00482D99" w:rsidRDefault="00482D99">
          <w:pPr>
            <w:pStyle w:val="Encabezado"/>
            <w:jc w:val="right"/>
            <w:rPr>
              <w:rFonts w:cs="Arial"/>
              <w:sz w:val="16"/>
            </w:rPr>
          </w:pPr>
        </w:p>
      </w:tc>
      <w:tc>
        <w:tcPr>
          <w:tcW w:w="160" w:type="dxa"/>
          <w:tcMar>
            <w:top w:w="68" w:type="dxa"/>
            <w:bottom w:w="68" w:type="dxa"/>
          </w:tcMar>
          <w:vAlign w:val="center"/>
        </w:tcPr>
        <w:p w14:paraId="2E91FC2C" w14:textId="77777777" w:rsidR="00482D99" w:rsidRDefault="00482D99">
          <w:pPr>
            <w:pStyle w:val="Encabezado"/>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9DF41" w14:textId="77777777" w:rsidR="003918CB" w:rsidRDefault="003918CB">
      <w:r>
        <w:separator/>
      </w:r>
    </w:p>
  </w:footnote>
  <w:footnote w:type="continuationSeparator" w:id="0">
    <w:p w14:paraId="2EC9ADA1" w14:textId="77777777" w:rsidR="003918CB" w:rsidRDefault="00391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366"/>
      <w:gridCol w:w="1183"/>
    </w:tblGrid>
    <w:tr w:rsidR="00482D99" w14:paraId="64168CE0" w14:textId="77777777">
      <w:tc>
        <w:tcPr>
          <w:tcW w:w="1274" w:type="dxa"/>
          <w:tcMar>
            <w:top w:w="68" w:type="dxa"/>
            <w:bottom w:w="68" w:type="dxa"/>
          </w:tcMar>
        </w:tcPr>
        <w:p w14:paraId="54F91E47" w14:textId="11582349" w:rsidR="00482D99" w:rsidRDefault="005E2448">
          <w:pPr>
            <w:pStyle w:val="Encabezado"/>
            <w:rPr>
              <w:rFonts w:cs="Arial"/>
              <w:sz w:val="16"/>
            </w:rPr>
          </w:pPr>
          <w:r>
            <w:rPr>
              <w:rFonts w:cs="Arial"/>
              <w:b/>
              <w:bCs/>
              <w:noProof/>
              <w:color w:val="241A61"/>
            </w:rPr>
            <w:drawing>
              <wp:inline distT="0" distB="0" distL="0" distR="0" wp14:anchorId="6C884F30" wp14:editId="6223C562">
                <wp:extent cx="1152525" cy="4572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tc>
      <w:tc>
        <w:tcPr>
          <w:tcW w:w="10856" w:type="dxa"/>
          <w:tcMar>
            <w:top w:w="68" w:type="dxa"/>
            <w:bottom w:w="68" w:type="dxa"/>
          </w:tcMar>
          <w:vAlign w:val="center"/>
        </w:tcPr>
        <w:p w14:paraId="781EBFCD" w14:textId="5234DE92" w:rsidR="00482D99" w:rsidRDefault="001F7E5F">
          <w:pPr>
            <w:pStyle w:val="Encabezado"/>
            <w:jc w:val="center"/>
          </w:pPr>
          <w:r>
            <w:rPr>
              <w:rFonts w:cs="Arial"/>
              <w:b/>
              <w:bCs/>
              <w:color w:val="241A61"/>
            </w:rPr>
            <w:t>SMACAR</w:t>
          </w:r>
        </w:p>
      </w:tc>
      <w:tc>
        <w:tcPr>
          <w:tcW w:w="1980" w:type="dxa"/>
          <w:tcMar>
            <w:top w:w="68" w:type="dxa"/>
            <w:bottom w:w="68" w:type="dxa"/>
          </w:tcMar>
          <w:vAlign w:val="center"/>
        </w:tcPr>
        <w:p w14:paraId="4EB102CC" w14:textId="77777777" w:rsidR="00482D99" w:rsidRDefault="00482D99">
          <w:pPr>
            <w:pStyle w:val="Encabezado"/>
            <w:jc w:val="right"/>
            <w:rPr>
              <w:rFonts w:cs="Arial"/>
              <w:color w:val="241A61"/>
            </w:rPr>
          </w:pPr>
          <w:r>
            <w:rPr>
              <w:rFonts w:cs="Arial"/>
              <w:color w:val="241A61"/>
            </w:rPr>
            <w:t>0.3</w:t>
          </w:r>
        </w:p>
        <w:p w14:paraId="77C5388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502754B3"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1"/>
      <w:gridCol w:w="5046"/>
      <w:gridCol w:w="1527"/>
    </w:tblGrid>
    <w:tr w:rsidR="00482D99" w14:paraId="65C34A59" w14:textId="77777777" w:rsidTr="51196D15">
      <w:tc>
        <w:tcPr>
          <w:tcW w:w="1947" w:type="dxa"/>
          <w:tcMar>
            <w:top w:w="68" w:type="dxa"/>
            <w:bottom w:w="68" w:type="dxa"/>
          </w:tcMar>
        </w:tcPr>
        <w:p w14:paraId="2EAF3328" w14:textId="4FE90B63" w:rsidR="00482D99" w:rsidRPr="00393AF2" w:rsidRDefault="005E2448" w:rsidP="51196D15">
          <w:pPr>
            <w:pStyle w:val="Encabezado"/>
            <w:jc w:val="center"/>
            <w:rPr>
              <w:rFonts w:cs="Arial"/>
              <w:sz w:val="16"/>
              <w:szCs w:val="16"/>
            </w:rPr>
          </w:pPr>
          <w:r>
            <w:rPr>
              <w:rFonts w:cs="Arial"/>
              <w:noProof/>
              <w:sz w:val="16"/>
            </w:rPr>
            <w:drawing>
              <wp:inline distT="0" distB="0" distL="0" distR="0" wp14:anchorId="4452DD72" wp14:editId="3F5C384F">
                <wp:extent cx="838200" cy="3810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inline>
            </w:drawing>
          </w:r>
        </w:p>
      </w:tc>
      <w:tc>
        <w:tcPr>
          <w:tcW w:w="5143" w:type="dxa"/>
          <w:tcMar>
            <w:top w:w="68" w:type="dxa"/>
            <w:bottom w:w="68" w:type="dxa"/>
          </w:tcMar>
          <w:vAlign w:val="center"/>
        </w:tcPr>
        <w:p w14:paraId="124A4227"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10081672"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027"/>
      <w:gridCol w:w="1522"/>
    </w:tblGrid>
    <w:tr w:rsidR="00482D99" w14:paraId="0AE761EB" w14:textId="77777777">
      <w:tc>
        <w:tcPr>
          <w:tcW w:w="1947" w:type="dxa"/>
          <w:tcMar>
            <w:top w:w="68" w:type="dxa"/>
            <w:bottom w:w="68" w:type="dxa"/>
          </w:tcMar>
        </w:tcPr>
        <w:p w14:paraId="33DB576C" w14:textId="6F7B9564" w:rsidR="00482D99" w:rsidRDefault="005E2448">
          <w:pPr>
            <w:pStyle w:val="Encabezado"/>
            <w:rPr>
              <w:rFonts w:cs="Arial"/>
              <w:sz w:val="16"/>
            </w:rPr>
          </w:pPr>
          <w:r>
            <w:rPr>
              <w:rFonts w:cs="Arial"/>
              <w:b/>
              <w:bCs/>
              <w:noProof/>
              <w:color w:val="241A61"/>
            </w:rPr>
            <w:drawing>
              <wp:inline distT="0" distB="0" distL="0" distR="0" wp14:anchorId="3A0645BE" wp14:editId="0E33ACDF">
                <wp:extent cx="1152525" cy="4572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tc>
      <w:tc>
        <w:tcPr>
          <w:tcW w:w="5143" w:type="dxa"/>
          <w:tcMar>
            <w:top w:w="68" w:type="dxa"/>
            <w:bottom w:w="68" w:type="dxa"/>
          </w:tcMar>
          <w:vAlign w:val="center"/>
        </w:tcPr>
        <w:p w14:paraId="00B59F8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69A4321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17076B7"/>
    <w:multiLevelType w:val="multilevel"/>
    <w:tmpl w:val="47AC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A75544"/>
    <w:multiLevelType w:val="multilevel"/>
    <w:tmpl w:val="96E0A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46555872">
    <w:abstractNumId w:val="2"/>
  </w:num>
  <w:num w:numId="2" w16cid:durableId="131599277">
    <w:abstractNumId w:val="7"/>
  </w:num>
  <w:num w:numId="3" w16cid:durableId="400906366">
    <w:abstractNumId w:val="9"/>
  </w:num>
  <w:num w:numId="4" w16cid:durableId="315186378">
    <w:abstractNumId w:val="5"/>
  </w:num>
  <w:num w:numId="5" w16cid:durableId="1638678551">
    <w:abstractNumId w:val="1"/>
  </w:num>
  <w:num w:numId="6" w16cid:durableId="2096240898">
    <w:abstractNumId w:val="0"/>
  </w:num>
  <w:num w:numId="7" w16cid:durableId="1479496013">
    <w:abstractNumId w:val="8"/>
  </w:num>
  <w:num w:numId="8" w16cid:durableId="391201065">
    <w:abstractNumId w:val="3"/>
  </w:num>
  <w:num w:numId="9" w16cid:durableId="1629628020">
    <w:abstractNumId w:val="4"/>
  </w:num>
  <w:num w:numId="10" w16cid:durableId="89424192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6A40"/>
    <w:rsid w:val="0004114C"/>
    <w:rsid w:val="00064DED"/>
    <w:rsid w:val="000C31DF"/>
    <w:rsid w:val="000D0302"/>
    <w:rsid w:val="000E38F1"/>
    <w:rsid w:val="00102ABF"/>
    <w:rsid w:val="00120057"/>
    <w:rsid w:val="00126F76"/>
    <w:rsid w:val="001564DD"/>
    <w:rsid w:val="001909B0"/>
    <w:rsid w:val="00192AA4"/>
    <w:rsid w:val="001A44AD"/>
    <w:rsid w:val="001B7384"/>
    <w:rsid w:val="001F7E5F"/>
    <w:rsid w:val="00213F48"/>
    <w:rsid w:val="00296F2B"/>
    <w:rsid w:val="00336F38"/>
    <w:rsid w:val="003918CB"/>
    <w:rsid w:val="00393AF2"/>
    <w:rsid w:val="003D028F"/>
    <w:rsid w:val="003F3D16"/>
    <w:rsid w:val="00460EFC"/>
    <w:rsid w:val="004635EE"/>
    <w:rsid w:val="00467ACE"/>
    <w:rsid w:val="00477287"/>
    <w:rsid w:val="00482D99"/>
    <w:rsid w:val="004C58D3"/>
    <w:rsid w:val="004D215D"/>
    <w:rsid w:val="004E1B5E"/>
    <w:rsid w:val="004F499C"/>
    <w:rsid w:val="0050192D"/>
    <w:rsid w:val="00513A27"/>
    <w:rsid w:val="00541BAB"/>
    <w:rsid w:val="00547623"/>
    <w:rsid w:val="005B797C"/>
    <w:rsid w:val="005E2448"/>
    <w:rsid w:val="005E69D9"/>
    <w:rsid w:val="006068CD"/>
    <w:rsid w:val="00612828"/>
    <w:rsid w:val="006301E1"/>
    <w:rsid w:val="00693188"/>
    <w:rsid w:val="006A254B"/>
    <w:rsid w:val="006D5D0E"/>
    <w:rsid w:val="006D7236"/>
    <w:rsid w:val="006F590F"/>
    <w:rsid w:val="00706DAA"/>
    <w:rsid w:val="00726707"/>
    <w:rsid w:val="00731149"/>
    <w:rsid w:val="00740904"/>
    <w:rsid w:val="00792672"/>
    <w:rsid w:val="007A1FA4"/>
    <w:rsid w:val="007B1FDB"/>
    <w:rsid w:val="007D4BB5"/>
    <w:rsid w:val="007E0115"/>
    <w:rsid w:val="008270F6"/>
    <w:rsid w:val="00843134"/>
    <w:rsid w:val="00896024"/>
    <w:rsid w:val="00932263"/>
    <w:rsid w:val="00940444"/>
    <w:rsid w:val="00955525"/>
    <w:rsid w:val="00994EBD"/>
    <w:rsid w:val="00AB418F"/>
    <w:rsid w:val="00AF72B2"/>
    <w:rsid w:val="00B32124"/>
    <w:rsid w:val="00B41FA7"/>
    <w:rsid w:val="00B57325"/>
    <w:rsid w:val="00B62770"/>
    <w:rsid w:val="00BE6CA7"/>
    <w:rsid w:val="00C36845"/>
    <w:rsid w:val="00CC2C3F"/>
    <w:rsid w:val="00DA38F7"/>
    <w:rsid w:val="00DE05F5"/>
    <w:rsid w:val="00E274FE"/>
    <w:rsid w:val="00E4268E"/>
    <w:rsid w:val="00E43546"/>
    <w:rsid w:val="00E6000C"/>
    <w:rsid w:val="00ED4140"/>
    <w:rsid w:val="00EE4E69"/>
    <w:rsid w:val="00F14C78"/>
    <w:rsid w:val="00F62499"/>
    <w:rsid w:val="00F93F2B"/>
    <w:rsid w:val="00FF6EB4"/>
    <w:rsid w:val="13D93B97"/>
    <w:rsid w:val="196DB485"/>
    <w:rsid w:val="51196D15"/>
    <w:rsid w:val="70F909B9"/>
    <w:rsid w:val="7B347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463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0985">
      <w:bodyDiv w:val="1"/>
      <w:marLeft w:val="0"/>
      <w:marRight w:val="0"/>
      <w:marTop w:val="0"/>
      <w:marBottom w:val="0"/>
      <w:divBdr>
        <w:top w:val="none" w:sz="0" w:space="0" w:color="auto"/>
        <w:left w:val="none" w:sz="0" w:space="0" w:color="auto"/>
        <w:bottom w:val="none" w:sz="0" w:space="0" w:color="auto"/>
        <w:right w:val="none" w:sz="0" w:space="0" w:color="auto"/>
      </w:divBdr>
    </w:div>
    <w:div w:id="542718449">
      <w:bodyDiv w:val="1"/>
      <w:marLeft w:val="0"/>
      <w:marRight w:val="0"/>
      <w:marTop w:val="0"/>
      <w:marBottom w:val="0"/>
      <w:divBdr>
        <w:top w:val="none" w:sz="0" w:space="0" w:color="auto"/>
        <w:left w:val="none" w:sz="0" w:space="0" w:color="auto"/>
        <w:bottom w:val="none" w:sz="0" w:space="0" w:color="auto"/>
        <w:right w:val="none" w:sz="0" w:space="0" w:color="auto"/>
      </w:divBdr>
    </w:div>
    <w:div w:id="1094396779">
      <w:bodyDiv w:val="1"/>
      <w:marLeft w:val="0"/>
      <w:marRight w:val="0"/>
      <w:marTop w:val="0"/>
      <w:marBottom w:val="0"/>
      <w:divBdr>
        <w:top w:val="none" w:sz="0" w:space="0" w:color="auto"/>
        <w:left w:val="none" w:sz="0" w:space="0" w:color="auto"/>
        <w:bottom w:val="none" w:sz="0" w:space="0" w:color="auto"/>
        <w:right w:val="none" w:sz="0" w:space="0" w:color="auto"/>
      </w:divBdr>
    </w:div>
    <w:div w:id="1139952389">
      <w:bodyDiv w:val="1"/>
      <w:marLeft w:val="0"/>
      <w:marRight w:val="0"/>
      <w:marTop w:val="0"/>
      <w:marBottom w:val="0"/>
      <w:divBdr>
        <w:top w:val="none" w:sz="0" w:space="0" w:color="auto"/>
        <w:left w:val="none" w:sz="0" w:space="0" w:color="auto"/>
        <w:bottom w:val="none" w:sz="0" w:space="0" w:color="auto"/>
        <w:right w:val="none" w:sz="0" w:space="0" w:color="auto"/>
      </w:divBdr>
    </w:div>
    <w:div w:id="1145899921">
      <w:bodyDiv w:val="1"/>
      <w:marLeft w:val="0"/>
      <w:marRight w:val="0"/>
      <w:marTop w:val="0"/>
      <w:marBottom w:val="0"/>
      <w:divBdr>
        <w:top w:val="none" w:sz="0" w:space="0" w:color="auto"/>
        <w:left w:val="none" w:sz="0" w:space="0" w:color="auto"/>
        <w:bottom w:val="none" w:sz="0" w:space="0" w:color="auto"/>
        <w:right w:val="none" w:sz="0" w:space="0" w:color="auto"/>
      </w:divBdr>
    </w:div>
    <w:div w:id="1197158673">
      <w:bodyDiv w:val="1"/>
      <w:marLeft w:val="0"/>
      <w:marRight w:val="0"/>
      <w:marTop w:val="0"/>
      <w:marBottom w:val="0"/>
      <w:divBdr>
        <w:top w:val="none" w:sz="0" w:space="0" w:color="auto"/>
        <w:left w:val="none" w:sz="0" w:space="0" w:color="auto"/>
        <w:bottom w:val="none" w:sz="0" w:space="0" w:color="auto"/>
        <w:right w:val="none" w:sz="0" w:space="0" w:color="auto"/>
      </w:divBdr>
    </w:div>
    <w:div w:id="1638219876">
      <w:bodyDiv w:val="1"/>
      <w:marLeft w:val="0"/>
      <w:marRight w:val="0"/>
      <w:marTop w:val="0"/>
      <w:marBottom w:val="0"/>
      <w:divBdr>
        <w:top w:val="none" w:sz="0" w:space="0" w:color="auto"/>
        <w:left w:val="none" w:sz="0" w:space="0" w:color="auto"/>
        <w:bottom w:val="none" w:sz="0" w:space="0" w:color="auto"/>
        <w:right w:val="none" w:sz="0" w:space="0" w:color="auto"/>
      </w:divBdr>
    </w:div>
    <w:div w:id="1754933295">
      <w:bodyDiv w:val="1"/>
      <w:marLeft w:val="0"/>
      <w:marRight w:val="0"/>
      <w:marTop w:val="0"/>
      <w:marBottom w:val="0"/>
      <w:divBdr>
        <w:top w:val="none" w:sz="0" w:space="0" w:color="auto"/>
        <w:left w:val="none" w:sz="0" w:space="0" w:color="auto"/>
        <w:bottom w:val="none" w:sz="0" w:space="0" w:color="auto"/>
        <w:right w:val="none" w:sz="0" w:space="0" w:color="auto"/>
      </w:divBdr>
    </w:div>
    <w:div w:id="179032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aeaa01-a950-422c-960e-264f67b63d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BBA393D964CB143B484A061ABA4007A" ma:contentTypeVersion="14" ma:contentTypeDescription="Crear nuevo documento." ma:contentTypeScope="" ma:versionID="064a4aec5c678fba8ef27d17d8c39631">
  <xsd:schema xmlns:xsd="http://www.w3.org/2001/XMLSchema" xmlns:xs="http://www.w3.org/2001/XMLSchema" xmlns:p="http://schemas.microsoft.com/office/2006/metadata/properties" xmlns:ns3="61aeaa01-a950-422c-960e-264f67b63d3a" xmlns:ns4="aad0a7da-b7d2-47d0-9ddd-c6edaf7312f5" targetNamespace="http://schemas.microsoft.com/office/2006/metadata/properties" ma:root="true" ma:fieldsID="188bd92c214c729601a27e5a627f591c" ns3:_="" ns4:_="">
    <xsd:import namespace="61aeaa01-a950-422c-960e-264f67b63d3a"/>
    <xsd:import namespace="aad0a7da-b7d2-47d0-9ddd-c6edaf7312f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aeaa01-a950-422c-960e-264f67b63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d0a7da-b7d2-47d0-9ddd-c6edaf7312f5"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2.xml><?xml version="1.0" encoding="utf-8"?>
<ds:datastoreItem xmlns:ds="http://schemas.openxmlformats.org/officeDocument/2006/customXml" ds:itemID="{0F944ADD-1A76-4B5C-A673-AADE131CED42}">
  <ds:schemaRefs>
    <ds:schemaRef ds:uri="http://schemas.microsoft.com/sharepoint/v3/contenttype/forms"/>
  </ds:schemaRefs>
</ds:datastoreItem>
</file>

<file path=customXml/itemProps3.xml><?xml version="1.0" encoding="utf-8"?>
<ds:datastoreItem xmlns:ds="http://schemas.openxmlformats.org/officeDocument/2006/customXml" ds:itemID="{EF40F4B0-EC04-45D4-B5DA-FF395C327543}">
  <ds:schemaRefs>
    <ds:schemaRef ds:uri="http://schemas.microsoft.com/office/2006/metadata/properties"/>
    <ds:schemaRef ds:uri="http://schemas.microsoft.com/office/infopath/2007/PartnerControls"/>
    <ds:schemaRef ds:uri="61aeaa01-a950-422c-960e-264f67b63d3a"/>
  </ds:schemaRefs>
</ds:datastoreItem>
</file>

<file path=customXml/itemProps4.xml><?xml version="1.0" encoding="utf-8"?>
<ds:datastoreItem xmlns:ds="http://schemas.openxmlformats.org/officeDocument/2006/customXml" ds:itemID="{5E080784-8CC7-45B7-AF72-883947B4B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aeaa01-a950-422c-960e-264f67b63d3a"/>
    <ds:schemaRef ds:uri="aad0a7da-b7d2-47d0-9ddd-c6edaf7312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3752</Words>
  <Characters>20641</Characters>
  <Application>Microsoft Office Word</Application>
  <DocSecurity>0</DocSecurity>
  <Lines>172</Lines>
  <Paragraphs>48</Paragraphs>
  <ScaleCrop>false</ScaleCrop>
  <Company>Organizacion</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Camila Fernández Vargas</cp:lastModifiedBy>
  <cp:revision>23</cp:revision>
  <cp:lastPrinted>2025-02-03T00:38:00Z</cp:lastPrinted>
  <dcterms:created xsi:type="dcterms:W3CDTF">2025-05-21T17:30:00Z</dcterms:created>
  <dcterms:modified xsi:type="dcterms:W3CDTF">2025-05-22T23:23:00Z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0x010100DBBA393D964CB143B484A061ABA4007A</vt:lpwstr>
  </property>
</Properties>
</file>