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i w:val="0"/>
          <w:color w:val="1A3A5C"/>
          <w:sz w:val="56"/>
        </w:rPr>
        <w:t>Player Pulse</w:t>
      </w:r>
    </w:p>
    <w:p>
      <w:pPr>
        <w:jc w:val="center"/>
      </w:pPr>
      <w:r>
        <w:rPr>
          <w:rFonts w:ascii="Calibri" w:hAnsi="Calibri"/>
          <w:b w:val="0"/>
          <w:i w:val="0"/>
          <w:color w:val="008B8B"/>
          <w:sz w:val="32"/>
        </w:rPr>
        <w:t>User Lifecycle Segmentation with RFM Analysis</w:t>
      </w:r>
    </w:p>
    <w:p/>
    <w:p>
      <w:pPr>
        <w:jc w:val="center"/>
      </w:pPr>
      <w:r>
        <w:rPr>
          <w:rFonts w:ascii="Calibri" w:hAnsi="Calibri"/>
          <w:b w:val="0"/>
          <w:i/>
          <w:color w:val="6E6E6E"/>
          <w:sz w:val="20"/>
        </w:rPr>
        <w:t>Analysis Date: December 31, 2024  |  Dataset: Synthetic (5,000 users, 12 months)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A5C"/>
          <w:sz w:val="32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report presents a complete RFM (Recency, Frequency, Monetary) segmentation analysis of 5,000 synthetic users over a 12-month period. Using K-Means clustering on quintile-scored RFM dimensions, users are grouped into five behaviorally distinct segments — from Champions who drive outsized revenue, to Lost users who have fully disengaged. The methodology and insights are directly transferable to any live-service product, subscription business, e-commerce platform, or mobile game.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1872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Users</w:t>
            </w:r>
          </w:p>
        </w:tc>
        <w:tc>
          <w:tcPr>
            <w:tcW w:type="dxa" w:w="1872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of Users</w:t>
            </w:r>
          </w:p>
        </w:tc>
        <w:tc>
          <w:tcPr>
            <w:tcW w:type="dxa" w:w="1872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Avg. Spend</w:t>
            </w:r>
          </w:p>
        </w:tc>
        <w:tc>
          <w:tcPr>
            <w:tcW w:type="dxa" w:w="1872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Revenue</w:t>
            </w:r>
          </w:p>
        </w:tc>
      </w:tr>
      <w:tr>
        <w:tc>
          <w:tcPr>
            <w:tcW w:type="dxa" w:w="1872"/>
            <w:shd w:val="clear" w:color="auto" w:fill="D5F5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Champions</w:t>
            </w:r>
          </w:p>
        </w:tc>
        <w:tc>
          <w:tcPr>
            <w:tcW w:type="dxa" w:w="1872"/>
            <w:shd w:val="clear" w:color="auto" w:fill="D5F5E3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1058</w:t>
            </w:r>
          </w:p>
        </w:tc>
        <w:tc>
          <w:tcPr>
            <w:tcW w:type="dxa" w:w="1872"/>
            <w:shd w:val="clear" w:color="auto" w:fill="D5F5E3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21.2%</w:t>
            </w:r>
          </w:p>
        </w:tc>
        <w:tc>
          <w:tcPr>
            <w:tcW w:type="dxa" w:w="1872"/>
            <w:shd w:val="clear" w:color="auto" w:fill="D5F5E3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$2054</w:t>
            </w:r>
          </w:p>
        </w:tc>
        <w:tc>
          <w:tcPr>
            <w:tcW w:type="dxa" w:w="1872"/>
            <w:shd w:val="clear" w:color="auto" w:fill="D5F5E3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71.7%</w:t>
            </w:r>
          </w:p>
        </w:tc>
      </w:tr>
      <w:tr>
        <w:tc>
          <w:tcPr>
            <w:tcW w:type="dxa" w:w="1872"/>
            <w:shd w:val="clear" w:color="auto" w:fill="D6EAF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Loyal Users</w:t>
            </w:r>
          </w:p>
        </w:tc>
        <w:tc>
          <w:tcPr>
            <w:tcW w:type="dxa" w:w="1872"/>
            <w:shd w:val="clear" w:color="auto" w:fill="D6EAF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1024</w:t>
            </w:r>
          </w:p>
        </w:tc>
        <w:tc>
          <w:tcPr>
            <w:tcW w:type="dxa" w:w="1872"/>
            <w:shd w:val="clear" w:color="auto" w:fill="D6EAF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20.5%</w:t>
            </w:r>
          </w:p>
        </w:tc>
        <w:tc>
          <w:tcPr>
            <w:tcW w:type="dxa" w:w="1872"/>
            <w:shd w:val="clear" w:color="auto" w:fill="D6EAF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$371</w:t>
            </w:r>
          </w:p>
        </w:tc>
        <w:tc>
          <w:tcPr>
            <w:tcW w:type="dxa" w:w="1872"/>
            <w:shd w:val="clear" w:color="auto" w:fill="D6EAF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12.5%</w:t>
            </w:r>
          </w:p>
        </w:tc>
      </w:tr>
      <w:tr>
        <w:tc>
          <w:tcPr>
            <w:tcW w:type="dxa" w:w="1872"/>
            <w:shd w:val="clear" w:color="auto" w:fill="FDEBD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At Risk</w:t>
            </w:r>
          </w:p>
        </w:tc>
        <w:tc>
          <w:tcPr>
            <w:tcW w:type="dxa" w:w="1872"/>
            <w:shd w:val="clear" w:color="auto" w:fill="FDEBD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922</w:t>
            </w:r>
          </w:p>
        </w:tc>
        <w:tc>
          <w:tcPr>
            <w:tcW w:type="dxa" w:w="1872"/>
            <w:shd w:val="clear" w:color="auto" w:fill="FDEBD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18.4%</w:t>
            </w:r>
          </w:p>
        </w:tc>
        <w:tc>
          <w:tcPr>
            <w:tcW w:type="dxa" w:w="1872"/>
            <w:shd w:val="clear" w:color="auto" w:fill="FDEBD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$420</w:t>
            </w:r>
          </w:p>
        </w:tc>
        <w:tc>
          <w:tcPr>
            <w:tcW w:type="dxa" w:w="1872"/>
            <w:shd w:val="clear" w:color="auto" w:fill="FDEBD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12.8%</w:t>
            </w:r>
          </w:p>
        </w:tc>
      </w:tr>
      <w:tr>
        <w:tc>
          <w:tcPr>
            <w:tcW w:type="dxa" w:w="1872"/>
            <w:shd w:val="clear" w:color="auto" w:fill="FAD7A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Dormant</w:t>
            </w:r>
          </w:p>
        </w:tc>
        <w:tc>
          <w:tcPr>
            <w:tcW w:type="dxa" w:w="1872"/>
            <w:shd w:val="clear" w:color="auto" w:fill="FAD7A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935</w:t>
            </w:r>
          </w:p>
        </w:tc>
        <w:tc>
          <w:tcPr>
            <w:tcW w:type="dxa" w:w="1872"/>
            <w:shd w:val="clear" w:color="auto" w:fill="FAD7A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18.7%</w:t>
            </w:r>
          </w:p>
        </w:tc>
        <w:tc>
          <w:tcPr>
            <w:tcW w:type="dxa" w:w="1872"/>
            <w:shd w:val="clear" w:color="auto" w:fill="FAD7A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$56</w:t>
            </w:r>
          </w:p>
        </w:tc>
        <w:tc>
          <w:tcPr>
            <w:tcW w:type="dxa" w:w="1872"/>
            <w:shd w:val="clear" w:color="auto" w:fill="FAD7A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1.7%</w:t>
            </w:r>
          </w:p>
        </w:tc>
      </w:tr>
      <w:tr>
        <w:tc>
          <w:tcPr>
            <w:tcW w:type="dxa" w:w="1872"/>
            <w:shd w:val="clear" w:color="auto" w:fill="FADBD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Lost</w:t>
            </w:r>
          </w:p>
        </w:tc>
        <w:tc>
          <w:tcPr>
            <w:tcW w:type="dxa" w:w="1872"/>
            <w:shd w:val="clear" w:color="auto" w:fill="FADBD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1061</w:t>
            </w:r>
          </w:p>
        </w:tc>
        <w:tc>
          <w:tcPr>
            <w:tcW w:type="dxa" w:w="1872"/>
            <w:shd w:val="clear" w:color="auto" w:fill="FADBD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21.2%</w:t>
            </w:r>
          </w:p>
        </w:tc>
        <w:tc>
          <w:tcPr>
            <w:tcW w:type="dxa" w:w="1872"/>
            <w:shd w:val="clear" w:color="auto" w:fill="FADBD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$35</w:t>
            </w:r>
          </w:p>
        </w:tc>
        <w:tc>
          <w:tcPr>
            <w:tcW w:type="dxa" w:w="1872"/>
            <w:shd w:val="clear" w:color="auto" w:fill="FADBD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1.2%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3A5C"/>
          <w:sz w:val="32"/>
        </w:rPr>
        <w:t>2. Dataset Creation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synthetic transaction dataset was generated in Python to simulate one year of user activity (January 1 – December 31, 2024). The dataset intentionally mirrors the structure of real-world CRM exports, mobile game telemetry pipelines, or data warehouse event logs, making it straightforward to swap in production data.</w:t>
      </w:r>
    </w:p>
    <w:p>
      <w:pPr>
        <w:pStyle w:val="Heading2"/>
      </w:pPr>
      <w:r>
        <w:rPr>
          <w:rFonts w:ascii="Calibri" w:hAnsi="Calibri"/>
          <w:b/>
          <w:color w:val="008B8B"/>
          <w:sz w:val="26"/>
        </w:rPr>
        <w:t>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5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A3A5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A3A5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EBF5FB"/>
          </w:tcPr>
          <w:p>
            <w:r>
              <w:rPr>
                <w:rFonts w:ascii="Calibri" w:hAnsi="Calibri"/>
                <w:b/>
                <w:i w:val="0"/>
                <w:sz w:val="20"/>
              </w:rPr>
              <w:t>user_id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Unique user/player identifier (e.g. U00001)</w:t>
            </w:r>
          </w:p>
        </w:tc>
      </w:tr>
      <w:tr>
        <w:tc>
          <w:tcPr>
            <w:tcW w:type="dxa" w:w="3120"/>
            <w:shd w:val="clear" w:color="auto" w:fill="EBF5FB"/>
          </w:tcPr>
          <w:p>
            <w:r>
              <w:rPr>
                <w:rFonts w:ascii="Calibri" w:hAnsi="Calibri"/>
                <w:b/>
                <w:i w:val="0"/>
                <w:sz w:val="20"/>
              </w:rPr>
              <w:t>transaction_date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Date of purchase or meaningful engagement event</w:t>
            </w:r>
          </w:p>
        </w:tc>
      </w:tr>
      <w:tr>
        <w:tc>
          <w:tcPr>
            <w:tcW w:type="dxa" w:w="3120"/>
            <w:shd w:val="clear" w:color="auto" w:fill="EBF5FB"/>
          </w:tcPr>
          <w:p>
            <w:r>
              <w:rPr>
                <w:rFonts w:ascii="Calibri" w:hAnsi="Calibri"/>
                <w:b/>
                <w:i w:val="0"/>
                <w:sz w:val="20"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Float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Revenue generated in USD (0 for free sessions)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8B8B"/>
          <w:sz w:val="26"/>
        </w:rPr>
        <w:t>User Archetypes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Seven behavioral archetypes were defined to produce a realistic, non-uniform distribution across the RFM space. Each archetype controls the number of transactions, recency window, and spend distribution for its cohort: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Champion (400 users): </w:t>
      </w:r>
      <w:r>
        <w:rPr>
          <w:rFonts w:ascii="Calibri" w:hAnsi="Calibri"/>
          <w:b w:val="0"/>
          <w:i w:val="0"/>
          <w:sz w:val="21"/>
        </w:rPr>
        <w:t>Very high frequency (avg. 45 tx), recent activity, high spend (~$85 avg)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Loyal (700 users): </w:t>
      </w:r>
      <w:r>
        <w:rPr>
          <w:rFonts w:ascii="Calibri" w:hAnsi="Calibri"/>
          <w:b w:val="0"/>
          <w:i w:val="0"/>
          <w:sz w:val="21"/>
        </w:rPr>
        <w:t>Consistent engagement (avg. 25 tx), moderate-high spend (~$40 avg)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Potential (900 users): </w:t>
      </w:r>
      <w:r>
        <w:rPr>
          <w:rFonts w:ascii="Calibri" w:hAnsi="Calibri"/>
          <w:b w:val="0"/>
          <w:i w:val="0"/>
          <w:sz w:val="21"/>
        </w:rPr>
        <w:t>Growing users with moderate activity (avg. 12 tx) and lower spend (~$20 avg)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At Risk (800 users): </w:t>
      </w:r>
      <w:r>
        <w:rPr>
          <w:rFonts w:ascii="Calibri" w:hAnsi="Calibri"/>
          <w:b w:val="0"/>
          <w:i w:val="0"/>
          <w:sz w:val="21"/>
        </w:rPr>
        <w:t>Previously active users with increasing recency (up to 120 days absent)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Hibernating (700 users): </w:t>
      </w:r>
      <w:r>
        <w:rPr>
          <w:rFonts w:ascii="Calibri" w:hAnsi="Calibri"/>
          <w:b w:val="0"/>
          <w:i w:val="0"/>
          <w:sz w:val="21"/>
        </w:rPr>
        <w:t>Low frequency, low spend, last active 60-200 days ago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Lost (500 users): </w:t>
      </w:r>
      <w:r>
        <w:rPr>
          <w:rFonts w:ascii="Calibri" w:hAnsi="Calibri"/>
          <w:b w:val="0"/>
          <w:i w:val="0"/>
          <w:sz w:val="21"/>
        </w:rPr>
        <w:t>Minimal historical activity, last seen 200-340 days ago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New User (1,000 users): </w:t>
      </w:r>
      <w:r>
        <w:rPr>
          <w:rFonts w:ascii="Calibri" w:hAnsi="Calibri"/>
          <w:b w:val="0"/>
          <w:i w:val="0"/>
          <w:sz w:val="21"/>
        </w:rPr>
        <w:t>Very recent acquisition (within 20 days), low transaction count</w:t>
      </w:r>
    </w:p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generator produced 69,743 total transaction records across 5,000 unique users, spanning 2024-01-01 to 2024-12-30, with total simulated revenue of $3,029,921.</w:t>
      </w:r>
    </w:p>
    <w:p>
      <w:pPr>
        <w:pStyle w:val="Heading1"/>
      </w:pPr>
      <w:r>
        <w:rPr>
          <w:rFonts w:ascii="Calibri" w:hAnsi="Calibri"/>
          <w:b/>
          <w:color w:val="1A3A5C"/>
          <w:sz w:val="32"/>
        </w:rPr>
        <w:t>3. Exploratory Data Analysis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Before computing RFM metrics, three foundational EDA checks were performed: transaction volume over time to identify seasonality or anomalies, revenue distribution to understand skew and outlier presence, and sessions-per-user to characterize engagement breadth.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5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E6E6E"/>
          <w:sz w:val="18"/>
        </w:rPr>
        <w:t>Figure 1: EDA Overview — Weekly volume, amount distribution, transactions per user</w:t>
      </w:r>
    </w:p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Key observations: transaction volume is broadly consistent across the year with natural variance. The amount distribution is right-skewed, as expected in live-service monetization — a small proportion of users drive a disproportionate share of revenue. The sessions-per-user histogram is bimodal, reflecting the high-frequency champion cohort versus the broader low-engagement base.</w:t>
      </w:r>
    </w:p>
    <w:p>
      <w:pPr>
        <w:pStyle w:val="Heading1"/>
      </w:pPr>
      <w:r>
        <w:rPr>
          <w:rFonts w:ascii="Calibri" w:hAnsi="Calibri"/>
          <w:b/>
          <w:color w:val="1A3A5C"/>
          <w:sz w:val="32"/>
        </w:rPr>
        <w:t>4. Data Cleaning &amp; Quality Checks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following checks were applied before feature engineering. The synthetic dataset was designed to be clean, but these steps are included as a production-ready pattern: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3A5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4680"/>
            <w:shd w:val="clear" w:color="auto" w:fill="1A3A5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680"/>
            <w:shd w:val="clear" w:color="auto" w:fill="F2F3F4"/>
          </w:tcPr>
          <w:p>
            <w:r>
              <w:rPr>
                <w:rFonts w:ascii="Calibri" w:hAnsi="Calibri"/>
                <w:b/>
                <w:i w:val="0"/>
                <w:sz w:val="20"/>
              </w:rPr>
              <w:t>Null values</w:t>
            </w:r>
          </w:p>
        </w:tc>
        <w:tc>
          <w:tcPr>
            <w:tcW w:type="dxa" w:w="4680"/>
            <w:shd w:val="clear" w:color="auto" w:fill="F2F3F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nulls found across all columns. No imputation required.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20"/>
              </w:rPr>
              <w:t>Duplicate transactions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Checked for duplicate (user_id, transaction_date, amount) triplets. None found.</w:t>
            </w:r>
          </w:p>
        </w:tc>
      </w:tr>
      <w:tr>
        <w:tc>
          <w:tcPr>
            <w:tcW w:type="dxa" w:w="4680"/>
            <w:shd w:val="clear" w:color="auto" w:fill="F2F3F4"/>
          </w:tcPr>
          <w:p>
            <w:r>
              <w:rPr>
                <w:rFonts w:ascii="Calibri" w:hAnsi="Calibri"/>
                <w:b/>
                <w:i w:val="0"/>
                <w:sz w:val="20"/>
              </w:rPr>
              <w:t>Negative amounts</w:t>
            </w:r>
          </w:p>
        </w:tc>
        <w:tc>
          <w:tcPr>
            <w:tcW w:type="dxa" w:w="4680"/>
            <w:shd w:val="clear" w:color="auto" w:fill="F2F3F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negative-value records. Floored to 0 to handle refunds.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20"/>
              </w:rPr>
              <w:t>Future-dated records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records post snapshot date. Excluded from recency calculation.</w:t>
            </w:r>
          </w:p>
        </w:tc>
      </w:tr>
      <w:tr>
        <w:tc>
          <w:tcPr>
            <w:tcW w:type="dxa" w:w="4680"/>
            <w:shd w:val="clear" w:color="auto" w:fill="F2F3F4"/>
          </w:tcPr>
          <w:p>
            <w:r>
              <w:rPr>
                <w:rFonts w:ascii="Calibri" w:hAnsi="Calibri"/>
                <w:b/>
                <w:i w:val="0"/>
                <w:sz w:val="20"/>
              </w:rPr>
              <w:t>Users with 0 revenue</w:t>
            </w:r>
          </w:p>
        </w:tc>
        <w:tc>
          <w:tcPr>
            <w:tcW w:type="dxa" w:w="4680"/>
            <w:shd w:val="clear" w:color="auto" w:fill="F2F3F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 users with zero lifetime spend — retained as valid free-to-play users.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3A5C"/>
          <w:sz w:val="32"/>
        </w:rPr>
        <w:t>5. Feature Engineering — RFM Metrics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raw transaction log was aggregated to one row per user with three computed dimensions: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Recency (R): </w:t>
      </w:r>
      <w:r>
        <w:rPr>
          <w:rFonts w:ascii="Calibri" w:hAnsi="Calibri"/>
          <w:b w:val="0"/>
          <w:i w:val="0"/>
          <w:sz w:val="21"/>
        </w:rPr>
        <w:t>Days between the user's most recent transaction and the snapshot date (Dec 31, 2024). Lower = better.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Frequency (F): </w:t>
      </w:r>
      <w:r>
        <w:rPr>
          <w:rFonts w:ascii="Calibri" w:hAnsi="Calibri"/>
          <w:b w:val="0"/>
          <w:i w:val="0"/>
          <w:sz w:val="21"/>
        </w:rPr>
        <w:t>Total count of transaction records for the user within the analysis period. Higher = better.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Monetary (M): </w:t>
      </w:r>
      <w:r>
        <w:rPr>
          <w:rFonts w:ascii="Calibri" w:hAnsi="Calibri"/>
          <w:b w:val="0"/>
          <w:i w:val="0"/>
          <w:sz w:val="21"/>
        </w:rPr>
        <w:t>Sum of all transaction amounts for the user. Higher = better.</w:t>
      </w:r>
    </w:p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dimension was then scored 1–5 using quintile binning (qcut). For Recency, the scoring is inverted so that score 5 = most recent. For Frequency and Monetary, score 5 = highest. A composite RFM score (simple average of the three) provides a single ranking metric per user, used later to anchor segment labeling.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78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E6E6E"/>
          <w:sz w:val="18"/>
        </w:rPr>
        <w:t>Figure 2: RFM Score Distributions — Approximately uniform across quintiles, confirming balanced scoring</w:t>
      </w:r>
    </w:p>
    <w:p/>
    <w:p>
      <w:pPr>
        <w:pStyle w:val="Heading1"/>
      </w:pPr>
      <w:r>
        <w:rPr>
          <w:rFonts w:ascii="Calibri" w:hAnsi="Calibri"/>
          <w:b/>
          <w:color w:val="1A3A5C"/>
          <w:sz w:val="32"/>
        </w:rPr>
        <w:t>6. K-Means Clustering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K-Means clustering was applied to the standardized R, F, and M scores to identify natural groupings in the 3-dimensional RFM space. StandardScaler was used to normalize the features before clustering, preventing any single dimension from dominating by scale.</w:t>
      </w:r>
    </w:p>
    <w:p>
      <w:pPr>
        <w:pStyle w:val="Heading2"/>
      </w:pPr>
      <w:r>
        <w:rPr>
          <w:rFonts w:ascii="Calibri" w:hAnsi="Calibri"/>
          <w:b/>
          <w:color w:val="008B8B"/>
          <w:sz w:val="26"/>
        </w:rPr>
        <w:t>Selecting Optimal 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elbow method (inertia vs. k) and silhouette score were evaluated across k = 2 through 10. Both methods converged on k = 5 as the optimal number of clusters — consistent with the five intuitive lifecycle stages (Champions, Loyal, At Risk, Dormant, Lost) commonly used in CRM analytics.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17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E6E6E"/>
          <w:sz w:val="18"/>
        </w:rPr>
        <w:t>Figure 3: Elbow Method and Silhouette Score — Both indicate k=5 as optimal</w:t>
      </w:r>
    </w:p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At k = 5, the silhouette score was 0.457, indicating well-separated, cohesive clusters. Clusters were labeled by sorting on mean composite RFM score, with rank 1 assigned "Champions" through rank 5 assigned "Lost".</w:t>
      </w:r>
    </w:p>
    <w:p>
      <w:pPr>
        <w:pStyle w:val="Heading1"/>
      </w:pPr>
      <w:r>
        <w:rPr>
          <w:rFonts w:ascii="Calibri" w:hAnsi="Calibri"/>
          <w:b/>
          <w:color w:val="1A3A5C"/>
          <w:sz w:val="32"/>
        </w:rPr>
        <w:t>7. Segment Analysis &amp; Insights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69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6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E6E6E"/>
          <w:sz w:val="18"/>
        </w:rPr>
        <w:t>Figure 4: Segmentation Dashboard — Scatter, revenue share, RFM heatmap, user distribution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2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E6E6E"/>
          <w:sz w:val="18"/>
        </w:rPr>
        <w:t>Figure 5: Segment Profile Comparison — Recency, frequency, and monetary by segment</w:t>
      </w:r>
    </w:p>
    <w:p/>
    <w:p>
      <w:pPr>
        <w:pStyle w:val="Heading2"/>
      </w:pPr>
      <w:r>
        <w:rPr>
          <w:rFonts w:ascii="Calibri" w:hAnsi="Calibri"/>
          <w:b/>
          <w:color w:val="008B8B"/>
          <w:sz w:val="26"/>
        </w:rPr>
        <w:t>Key Findings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Champions are revenue-outsized.  </w:t>
      </w:r>
      <w:r>
        <w:rPr>
          <w:rFonts w:ascii="Calibri" w:hAnsi="Calibri"/>
          <w:b w:val="0"/>
          <w:i w:val="0"/>
          <w:sz w:val="21"/>
        </w:rPr>
        <w:t>Champions make up 21.2% of users but account for 71.7% of total revenue. Average spend is $2054/user — 3.5x the platform average.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The At Risk segment is the highest-ROI re-engagement target.  </w:t>
      </w:r>
      <w:r>
        <w:rPr>
          <w:rFonts w:ascii="Calibri" w:hAnsi="Calibri"/>
          <w:b w:val="0"/>
          <w:i w:val="0"/>
          <w:sz w:val="21"/>
        </w:rPr>
        <w:t>922 users were previously highly active (avg. 14 transactions) but have not engaged in an average of 108 days. Their historical spend profile makes them high-value reactivation candidates.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Dormant and Lost segments represent churn already realized.  </w:t>
      </w:r>
      <w:r>
        <w:rPr>
          <w:rFonts w:ascii="Calibri" w:hAnsi="Calibri"/>
          <w:b w:val="0"/>
          <w:i w:val="0"/>
          <w:sz w:val="21"/>
        </w:rPr>
        <w:t>1,996 users (39.9% of base) have recency of 100+ days and minimal spend. Campaign ROI for this group is low; focus should be on root cause analysis to prevent future churn.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New users require rapid activation.  </w:t>
      </w:r>
      <w:r>
        <w:rPr>
          <w:rFonts w:ascii="Calibri" w:hAnsi="Calibri"/>
          <w:b w:val="0"/>
          <w:i w:val="0"/>
          <w:sz w:val="21"/>
        </w:rPr>
        <w:t>The 1,024-user Loyal segment and 1,430 very recent users show that a significant portion of the base has high activation potential if onboarding engagement is optimized in the first 30 days.</w:t>
      </w:r>
    </w:p>
    <w:p/>
    <w:p>
      <w:pPr>
        <w:pStyle w:val="Heading1"/>
      </w:pPr>
      <w:r>
        <w:rPr>
          <w:rFonts w:ascii="Calibri" w:hAnsi="Calibri"/>
          <w:b/>
          <w:color w:val="1A3A5C"/>
          <w:sz w:val="32"/>
        </w:rPr>
        <w:t>8. Business Recommendations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following actions are recommended per segment. Each is framed for two contexts to demonstrate the transferability of this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312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Gaming Action (e.g. Riot)</w:t>
            </w:r>
          </w:p>
        </w:tc>
        <w:tc>
          <w:tcPr>
            <w:tcW w:type="dxa" w:w="312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General Action (SaaS / E-Commerce)</w:t>
            </w:r>
          </w:p>
        </w:tc>
      </w:tr>
      <w:tr>
        <w:tc>
          <w:tcPr>
            <w:tcW w:type="dxa" w:w="3120"/>
            <w:shd w:val="clear" w:color="auto" w:fill="D5F5E3"/>
          </w:tcPr>
          <w:p>
            <w:r>
              <w:rPr>
                <w:rFonts w:ascii="Calibri" w:hAnsi="Calibri"/>
                <w:b/>
                <w:i w:val="0"/>
                <w:sz w:val="20"/>
              </w:rPr>
              <w:t>Champions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Exclusive early access, VIP cosmetics, beta tester programs. Protect LTV — avoid over-monetizing.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Loyalty tier upgrades, referral programs, NPS survey candidates, upsell to premium.</w:t>
            </w:r>
          </w:p>
        </w:tc>
      </w:tr>
      <w:tr>
        <w:tc>
          <w:tcPr>
            <w:tcW w:type="dxa" w:w="3120"/>
            <w:shd w:val="clear" w:color="auto" w:fill="D6EAF8"/>
          </w:tcPr>
          <w:p>
            <w:r>
              <w:rPr>
                <w:rFonts w:ascii="Calibri" w:hAnsi="Calibri"/>
                <w:b/>
                <w:i w:val="0"/>
                <w:sz w:val="20"/>
              </w:rPr>
              <w:t>Loyal Users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Battle Pass nudges, streak rewards, social feature activation to deepen loops.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Feature education campaigns, conversion to higher subscription tier, targeted upsell.</w:t>
            </w:r>
          </w:p>
        </w:tc>
      </w:tr>
      <w:tr>
        <w:tc>
          <w:tcPr>
            <w:tcW w:type="dxa" w:w="3120"/>
            <w:shd w:val="clear" w:color="auto" w:fill="FDEBD0"/>
          </w:tcPr>
          <w:p>
            <w:r>
              <w:rPr>
                <w:rFonts w:ascii="Calibri" w:hAnsi="Calibri"/>
                <w:b/>
                <w:i w:val="0"/>
                <w:sz w:val="20"/>
              </w:rPr>
              <w:t>At Risk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Re-engagement push: "Your friends are playing." Patch highlight email. Free XP boost.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Win-back email sequence, personalized "We miss you" discount, churn flag to CS team.</w:t>
            </w:r>
          </w:p>
        </w:tc>
      </w:tr>
      <w:tr>
        <w:tc>
          <w:tcPr>
            <w:tcW w:type="dxa" w:w="3120"/>
            <w:shd w:val="clear" w:color="auto" w:fill="FAD7A0"/>
          </w:tcPr>
          <w:p>
            <w:r>
              <w:rPr>
                <w:rFonts w:ascii="Calibri" w:hAnsi="Calibri"/>
                <w:b/>
                <w:i w:val="0"/>
                <w:sz w:val="20"/>
              </w:rPr>
              <w:t>Dormant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Major content update announcements, seasonal event emails, low-friction re-entry.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Broad promotional newsletter, discount offer, suppress if no response in 60 days.</w:t>
            </w:r>
          </w:p>
        </w:tc>
      </w:tr>
      <w:tr>
        <w:tc>
          <w:tcPr>
            <w:tcW w:type="dxa" w:w="3120"/>
            <w:shd w:val="clear" w:color="auto" w:fill="FADBD8"/>
          </w:tcPr>
          <w:p>
            <w:r>
              <w:rPr>
                <w:rFonts w:ascii="Calibri" w:hAnsi="Calibri"/>
                <w:b/>
                <w:i w:val="0"/>
                <w:sz w:val="20"/>
              </w:rPr>
              <w:t>Lost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One final comeback campaign tied to a major release. Suppress thereafter.</w:t>
            </w:r>
          </w:p>
        </w:tc>
        <w:tc>
          <w:tcPr>
            <w:tcW w:type="dxa" w:w="3120"/>
            <w:shd w:val="clear" w:color="auto" w:fill="FDFEFE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GDPR/data hygiene candidate. Analyze exit patterns to prevent future churn.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3A5C"/>
          <w:sz w:val="32"/>
        </w:rPr>
        <w:t>9. Next Steps &amp; Extensions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segmentation is a foundation. The following analytical extensions build directly on the RFM segments to deliver additional business value: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Churn Prediction Model: </w:t>
      </w:r>
      <w:r>
        <w:rPr>
          <w:rFonts w:ascii="Calibri" w:hAnsi="Calibri"/>
          <w:b w:val="0"/>
          <w:i w:val="0"/>
          <w:sz w:val="21"/>
        </w:rPr>
        <w:t>Train an XGBoost or logistic regression classifier using RFM scores and segment membership as features to predict 30-day churn probability at the individual user level. Output a ranked list of at-risk users for targeted intervention.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Lifetime Value (LTV) Regression: </w:t>
      </w:r>
      <w:r>
        <w:rPr>
          <w:rFonts w:ascii="Calibri" w:hAnsi="Calibri"/>
          <w:b w:val="0"/>
          <w:i w:val="0"/>
          <w:sz w:val="21"/>
        </w:rPr>
        <w:t>Predict 90-day forward revenue per user using historical RFM, segment, and behavioral features. Use SHAP values to identify the strongest LTV drivers and inform product prioritization.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A/B Experiment Design on At Risk Segment: </w:t>
      </w:r>
      <w:r>
        <w:rPr>
          <w:rFonts w:ascii="Calibri" w:hAnsi="Calibri"/>
          <w:b w:val="0"/>
          <w:i w:val="0"/>
          <w:sz w:val="21"/>
        </w:rPr>
        <w:t>Hold out 50% of At Risk users as a control group, send a re-engagement campaign to the treatment group, and measure 30-day reactivation lift. This directly validates the segment's responsiveness and informs campaign ROI.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Segment Migration Tracking: </w:t>
      </w:r>
      <w:r>
        <w:rPr>
          <w:rFonts w:ascii="Calibri" w:hAnsi="Calibri"/>
          <w:b w:val="0"/>
          <w:i w:val="0"/>
          <w:sz w:val="21"/>
        </w:rPr>
        <w:t>Run RFM monthly and track how users transition between segments over time. Visualize as a Sankey or cohort flow diagram. Identify which product or campaign events correlate with positive migration (e.g., Dormant → At Risk → Loyal).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Multi-Channel Attribution Model: </w:t>
      </w:r>
      <w:r>
        <w:rPr>
          <w:rFonts w:ascii="Calibri" w:hAnsi="Calibri"/>
          <w:b w:val="0"/>
          <w:i w:val="0"/>
          <w:sz w:val="21"/>
        </w:rPr>
        <w:t>Layer campaign touchpoint data (email opens, push clicks, paid installs) on top of the segmented user base. Build a multi-touch attribution model to quantify which channels are most effective for each segment, improving media efficiency.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Automated Reporting Pipeline: </w:t>
      </w:r>
      <w:r>
        <w:rPr>
          <w:rFonts w:ascii="Calibri" w:hAnsi="Calibri"/>
          <w:b w:val="0"/>
          <w:i w:val="0"/>
          <w:sz w:val="21"/>
        </w:rPr>
        <w:t>Schedule this analysis to run monthly, automatically flag segment shifts above a threshold (e.g., &gt;5% movement in Champions), and push a summary report to stakeholders. Connects to the Lifecycle Marketing Insights KPI dashboard use case directly relevant to senior analytics roles.</w:t>
      </w:r>
    </w:p>
    <w:p/>
    <w:sectPr w:rsidR="00FC693F" w:rsidRPr="0006063C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E6E6E"/>
        <w:sz w:val="16"/>
      </w:rPr>
      <w:t>Player Pulse: RFM Segmentation Report  |  Methodology: Python (pandas, scikit-learn, matplotlib)  |  Analysis Date: December 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