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高效率 BERT 古文断句标点</w:t>
        <w:br/>
        <w:t>微调与批量长文推理实验</w:t>
      </w:r>
    </w:p>
    <w:p>
      <w:hyperlink r:id="rId10">
        <w:r>
          <w:rPr>
            <w:color w:val="285B90"/>
          </w:rPr>
          <w:t>GitHub 项目</w:t>
        </w:r>
      </w:hyperlink>
      <w:r>
        <w:rPr>
          <w:b w:val="0"/>
        </w:rPr>
        <w:t xml:space="preserve"> · </w:t>
      </w:r>
      <w:hyperlink r:id="rId11">
        <w:r>
          <w:rPr>
            <w:color w:val="285B90"/>
          </w:rPr>
          <w:t>Word 报告</w:t>
        </w:r>
      </w:hyperlink>
    </w:p>
    <w:p>
      <w:pPr>
        <w:pStyle w:val="Heading1"/>
      </w:pPr>
      <w:r>
        <w:rPr>
          <w:b w:val="0"/>
        </w:rPr>
        <w:t>摘要</w:t>
      </w:r>
    </w:p>
    <w:p>
      <w:r>
        <w:rPr>
          <w:b w:val="0"/>
        </w:rPr>
        <w:t>本实验以课程提供的 1998 年半年人民日报带音语料构造字符后标点标签，微调预训练中文 BERT，并在独立现代文留出集及 CCLUE 标点测试集上评价。训练使用全部 14,864 篇训练文章，完成三个 epoch；最佳验证模型来自第 3 轮。模型恢复无标点及七种常用标点。长文实验比较预测句号推进、多文章批处理及固定重叠窗口批处理，记录质量、端到端速度、显存与接缝表现。</w:t>
      </w:r>
    </w:p>
    <w:p>
      <w:r>
        <w:rPr>
          <w:b w:val="0"/>
        </w:rPr>
        <w:t>固定窗口 batch=8 的现代文标点微 F1 为 0.8172，CCLUE 迁移标点微 F1 为 0.5994。两套数据独立报告。CCLUE 发布数据含文言与现代白话样例，其分数描述这套固定测试划分上的迁移表现。</w:t>
      </w:r>
    </w:p>
    <w:p>
      <w:r>
        <w:rPr>
          <w:b w:val="0"/>
        </w:rPr>
        <w:t>《论语》专项使用同一新闻模型，512条语录微F1为0.6488，20篇全文输入微F1为0.6191。专项采用可追溯电子文本的参考标点，按原记录说明版本与处理差异。古文领域继续微调暂缓。</w:t>
      </w:r>
    </w:p>
    <w:p>
      <w:pPr>
        <w:pStyle w:val="Heading1"/>
      </w:pPr>
      <w:r>
        <w:rPr>
          <w:b w:val="0"/>
        </w:rPr>
        <w:t>1. 任务与实验设计</w:t>
      </w:r>
    </w:p>
    <w:p>
      <w:r>
        <w:rPr>
          <w:b w:val="0"/>
        </w:rPr>
        <w:t xml:space="preserve">依据课程课件第68页，本实验完成预训练 BERT 的断句标点微调和超出上下文长度的批量推理。模型为 </w:t>
      </w:r>
      <w:hyperlink r:id="rId12">
        <w:r>
          <w:rPr>
            <w:color w:val="285B90"/>
          </w:rPr>
          <w:t>google-bert/bert-base-chinese</w:t>
        </w:r>
      </w:hyperlink>
      <w:r>
        <w:rPr>
          <w:b w:val="0"/>
        </w:rPr>
        <w:t xml:space="preserve">，使用 12 层、768 维 BERT 编码器及八类线性分类层。预训练权重固定版本 </w:t>
      </w:r>
      <w:r>
        <w:rPr>
          <w:rFonts w:ascii="Consolas" w:hAnsi="Consolas"/>
          <w:b w:val="0"/>
          <w:sz w:val="18"/>
        </w:rPr>
        <w:t>8f23c25b06e129b6c986331a13d8d025a92cf0ea</w:t>
      </w:r>
      <w:r>
        <w:rPr>
          <w:b w:val="0"/>
        </w:rPr>
        <w:t>，标点头从随机参数开始，全部模型参数参与微调。</w:t>
      </w:r>
    </w:p>
    <w:p>
      <w:pPr>
        <w:pStyle w:val="Heading1"/>
      </w:pPr>
      <w:r>
        <w:rPr>
          <w:b w:val="0"/>
        </w:rPr>
        <w:t>2. 数据来源与处理</w:t>
      </w:r>
    </w:p>
    <w:p>
      <w:r>
        <w:rPr>
          <w:b w:val="0"/>
        </w:rPr>
        <w:t xml:space="preserve">输入为课程提供的六个月 </w:t>
      </w:r>
      <w:r>
        <w:rPr>
          <w:rFonts w:ascii="Consolas" w:hAnsi="Consolas"/>
          <w:b w:val="0"/>
          <w:sz w:val="18"/>
        </w:rPr>
        <w:t>2003版-带音</w:t>
      </w:r>
      <w:r>
        <w:rPr>
          <w:b w:val="0"/>
        </w:rPr>
        <w:t xml:space="preserve"> 文件，原始压缩包 SHA-256 为 </w:t>
      </w:r>
      <w:r>
        <w:rPr>
          <w:rFonts w:ascii="Consolas" w:hAnsi="Consolas"/>
          <w:b w:val="0"/>
          <w:sz w:val="18"/>
        </w:rPr>
        <w:t>30c4435bcce7d082c2175720a4549114f80656761df95d3c8b20f0ee48e5d7ab</w:t>
      </w:r>
      <w:r>
        <w:rPr>
          <w:b w:val="0"/>
        </w:rPr>
        <w:t>。解析文章段落编号、去除注音和分词空格，保留正文、数字与字母，全角数字转为半角。按无标点正文去除 49 篇重复文章；五个异常编码段落保存原字节并隔离。原始压缩包保持原样。</w:t>
      </w:r>
    </w:p>
    <w:p>
      <w:r>
        <w:rPr>
          <w:b w:val="0"/>
        </w:rPr>
        <w:t xml:space="preserve">按月份分层、文章级独立划分训练 14,864 篇、验证 1,856 篇、测试 1,862 篇。每类标签表示字符后插入 </w:t>
      </w:r>
      <w:r>
        <w:rPr>
          <w:rFonts w:ascii="Consolas" w:hAnsi="Consolas"/>
          <w:b w:val="0"/>
          <w:sz w:val="18"/>
        </w:rPr>
        <w:t>，。？！、：；</w:t>
      </w:r>
      <w:r>
        <w:rPr>
          <w:b w:val="0"/>
        </w:rPr>
        <w:t xml:space="preserve"> 中的一个符号或无标点。引号、括号、书名号按任务范围移除；省略号、破折号及多主标点冲突位置使用忽略标签。全文连续段落作为长文输入，缺失及隔离段落形成断点。</w:t>
      </w:r>
    </w:p>
    <w:p>
      <w:r>
        <w:rPr>
          <w:b w:val="0"/>
        </w:rPr>
        <w:t>标题、署名、图片说明和正文都保留原有七类标点监督，段落拼接保持原标签，标题末尾和换段处沿用原文本中的标点状态。正文中的版面符号及特殊字仍按实际字符处理。该口径评价对发布文本标点的恢复，编辑标点习惯也是误差来源之一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数据划分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　文章级独立数据划分。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6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标签分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2　训练集标签数量，采用对数纵轴。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6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长文长度分布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3　自然文章连续正文的长度分布。</w:t>
      </w:r>
    </w:p>
    <w:p>
      <w:r>
        <w:rPr>
          <w:b w:val="0"/>
        </w:rPr>
        <w:t xml:space="preserve">外部标点评价采用 </w:t>
      </w:r>
      <w:hyperlink r:id="rId16">
        <w:r>
          <w:rPr>
            <w:color w:val="285B90"/>
          </w:rPr>
          <w:t>CCLUE</w:t>
        </w:r>
      </w:hyperlink>
      <w:r>
        <w:rPr>
          <w:b w:val="0"/>
        </w:rPr>
        <w:t xml:space="preserve"> 发布的固定测试划分，固定提交 </w:t>
      </w:r>
      <w:r>
        <w:rPr>
          <w:rFonts w:ascii="Consolas" w:hAnsi="Consolas"/>
          <w:b w:val="0"/>
          <w:sz w:val="18"/>
        </w:rPr>
        <w:t>ed481c453c1c36397f86905a2bda625ecc5607e1</w:t>
      </w:r>
      <w:r>
        <w:rPr>
          <w:b w:val="0"/>
        </w:rPr>
        <w:t>。上游经过简体转换、符号清理、书籍筛选和 1% 段落抽样。实际有效开发样本 4,074 条、测试样本 3,992 条。开发样本数与上游 README 的 4,075 相差一条，统计采用实际有效记录。本轮模型仅在新闻训练集上学习。</w:t>
      </w:r>
    </w:p>
    <w:p>
      <w:r>
        <w:rPr>
          <w:b w:val="0"/>
        </w:rPr>
        <w:t xml:space="preserve">样例复核发现 CCLUE 固定测试集包含现代白话叙述，例如 </w:t>
      </w:r>
      <w:r>
        <w:rPr>
          <w:rFonts w:ascii="Consolas" w:hAnsi="Consolas"/>
          <w:b w:val="0"/>
          <w:sz w:val="18"/>
        </w:rPr>
        <w:t>cclue-test-108-1964</w:t>
      </w:r>
      <w:r>
        <w:rPr>
          <w:b w:val="0"/>
        </w:rPr>
        <w:t xml:space="preserve"> 的开头“明妃正诧异的时候，一回头，见天皇满面怒容站在她身后”。本实验保留该样例及完整发布划分，明确采用混合文体测试集口径。由于发布记录未提供逐条来源路径，实验按实际记录编号呈现，整体分数与纯文言专项效果分别解释。</w:t>
      </w:r>
    </w:p>
    <w:p>
      <w:r>
        <w:rPr>
          <w:b w:val="0"/>
        </w:rPr>
        <w:t xml:space="preserve">全量对齐发现古文开发集含 156 个私用区等特殊字符位置，测试集含 596 个。这类字符在模型输入中显式映射为 </w:t>
      </w:r>
      <w:r>
        <w:rPr>
          <w:rFonts w:ascii="Consolas" w:hAnsi="Consolas"/>
          <w:b w:val="0"/>
          <w:sz w:val="18"/>
        </w:rPr>
        <w:t>[UNK]</w:t>
      </w:r>
      <w:r>
        <w:rPr>
          <w:b w:val="0"/>
        </w:rPr>
        <w:t>，保持原始文字、标签和评分位置；避免 tokenizer 默认清除字符后导致标签位移。普通词表外字按 BERT 的未知词处理。</w:t>
      </w:r>
    </w:p>
    <w:p>
      <w:pPr>
        <w:pStyle w:val="Heading1"/>
      </w:pPr>
      <w:r>
        <w:rPr>
          <w:b w:val="0"/>
        </w:rPr>
        <w:t>3. 微调实现与真实运行</w:t>
      </w:r>
    </w:p>
    <w:p>
      <w:r>
        <w:rPr>
          <w:b w:val="0"/>
        </w:rPr>
        <w:t xml:space="preserve">采用 Conda 环境 </w:t>
      </w:r>
      <w:r>
        <w:rPr>
          <w:rFonts w:ascii="Consolas" w:hAnsi="Consolas"/>
          <w:b w:val="0"/>
          <w:sz w:val="18"/>
        </w:rPr>
        <w:t>hw3-bert</w:t>
      </w:r>
      <w:r>
        <w:rPr>
          <w:b w:val="0"/>
        </w:rPr>
        <w:t xml:space="preserve">、Python 3.11.17、PyTorch 2.6.0+cu124、CUDA 12.4。GPU 为 NVIDIA GeForce RTX 3050 Ti Laptop GPU，显存约 4096 MiB。输入 400 字、步长 300 字，tokenizer 按字符对齐到最后一个子词；特殊位置及补齐位置使用 </w:t>
      </w:r>
      <w:r>
        <w:rPr>
          <w:rFonts w:ascii="Consolas" w:hAnsi="Consolas"/>
          <w:b w:val="0"/>
          <w:sz w:val="18"/>
        </w:rPr>
        <w:t>-100</w:t>
      </w:r>
      <w:r>
        <w:rPr>
          <w:b w:val="0"/>
        </w:rPr>
        <w:t>。实际最大输入长度 402 token，每个有效正文标签恰好进入一次监督。</w:t>
      </w:r>
    </w:p>
    <w:p>
      <w:r>
        <w:rPr>
          <w:b w:val="0"/>
        </w:rPr>
        <w:t>模型输入去除目标标点后的文字，输出每个字符后的八类分数。交叉熵在有效监督位置上计算，推理取分数最高的类别并插回原文。这里的“解码”是一次前向中的并行序列标注，每个字符都得到预测结果。BERT 的双向注意力利用窗口中的左右上下文。</w:t>
      </w:r>
    </w:p>
    <w:p>
      <w:r>
        <w:rPr>
          <w:b w:val="0"/>
        </w:rPr>
        <w:t xml:space="preserve">字符与子词的对齐使用 </w:t>
      </w:r>
      <w:r>
        <w:rPr>
          <w:rFonts w:ascii="Consolas" w:hAnsi="Consolas"/>
          <w:b w:val="0"/>
          <w:sz w:val="18"/>
        </w:rPr>
        <w:t>word_ids()</w:t>
      </w:r>
      <w:r>
        <w:rPr>
          <w:b w:val="0"/>
        </w:rPr>
        <w:t>。每个原始字符定位到最后一个子词，预测该字符之后的标点。以下为实现中的关键逻辑：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token_position, character_id in enumerate(batch.word_ids(row)):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character_id is not None: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last[character_id] = token_position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character_id in range(owned_start, owned_end):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labels[last[character_id]] = gold[character_id]</w:t>
      </w:r>
    </w:p>
    <w:p>
      <w:pPr>
        <w:spacing w:after="40"/>
      </w:pPr>
    </w:p>
    <w:p>
      <w:r>
        <w:rPr>
          <w:b w:val="0"/>
        </w:rPr>
        <w:t>AdamW 学习率 2e-5、权重衰减 0.01、线性 warmup 比例 0.1、三轮线性衰减。混合精度 FP16，实际训练 batch=4，梯度累积 4 次，名义有效 batch=16；固定种子 42。训练耗时 1.33 小时，包含完整验证和最佳模型保存。验证集标点微平均 F1 用于选模，测试集用于最终评价。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训练与验证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4　实际训练交叉熵与完整验证集 F1。</w:t>
      </w:r>
    </w:p>
    <w:p>
      <w:pPr>
        <w:pStyle w:val="Heading1"/>
      </w:pPr>
      <w:r>
        <w:rPr>
          <w:b w:val="0"/>
        </w:rPr>
        <w:t>4. 批量长文推理方法</w:t>
      </w:r>
    </w:p>
    <w:p>
      <w:r>
        <w:rPr>
          <w:b w:val="0"/>
        </w:rPr>
        <w:t>课件基线每次预测 400 字，在前 300 字中寻找最后一个预测句号，提交至该句号；没有句号时提交 300 字。剩余不足 400 字时一次提交完整尾部。下一起点依赖当前预测，因此单篇文章保留顺序依赖。多文章批处理将不同文章的当前窗口组成 batch。</w:t>
      </w:r>
    </w:p>
    <w:p>
      <w:r>
        <w:rPr>
          <w:b w:val="0"/>
        </w:rPr>
        <w:t>固定重叠方案预先切出 400 字上下文、步长 300 字的窗口，记录全局位置。重叠区中点划分各窗口拥有的位置，首尾窗口覆盖文章边缘。所有窗口可提前组成 batch，再按全局位置恢复标签。每个正文字符最终输出一个预测标签，原文字符顺序保持一致。</w:t>
      </w:r>
    </w:p>
    <w:p>
      <w:r>
        <w:rPr>
          <w:b w:val="0"/>
        </w:rPr>
        <w:t>固定窗口 batch=1 与 batch=8 使用相同上下文和拼接规则，比较批处理收益；与句号推进方法对照时，同时观察质量变化。测试时窗口构造与拼接只读取输入文字。</w:t>
      </w:r>
    </w:p>
    <w:p>
      <w:r>
        <w:rPr>
          <w:b w:val="0"/>
        </w:rPr>
        <w:t xml:space="preserve">相邻上下文窗口如 </w:t>
      </w:r>
      <w:r>
        <w:rPr>
          <w:rFonts w:ascii="Consolas" w:hAnsi="Consolas"/>
          <w:b w:val="0"/>
          <w:sz w:val="18"/>
        </w:rPr>
        <w:t>[0,400)</w:t>
      </w:r>
      <w:r>
        <w:rPr>
          <w:b w:val="0"/>
        </w:rPr>
        <w:t xml:space="preserve"> 和 </w:t>
      </w:r>
      <w:r>
        <w:rPr>
          <w:rFonts w:ascii="Consolas" w:hAnsi="Consolas"/>
          <w:b w:val="0"/>
          <w:sz w:val="18"/>
        </w:rPr>
        <w:t>[300,700)</w:t>
      </w:r>
      <w:r>
        <w:rPr>
          <w:b w:val="0"/>
        </w:rPr>
        <w:t xml:space="preserve">，中点边界为 350；前窗提交 </w:t>
      </w:r>
      <w:r>
        <w:rPr>
          <w:rFonts w:ascii="Consolas" w:hAnsi="Consolas"/>
          <w:b w:val="0"/>
          <w:sz w:val="18"/>
        </w:rPr>
        <w:t>[0,350)</w:t>
      </w:r>
      <w:r>
        <w:rPr>
          <w:b w:val="0"/>
        </w:rPr>
        <w:t>，后窗从 350 开始提交。这使重叠区两侧各保留约 50 字上下文。固定窗口拼接的核心实现为：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(document_id, (start, end, owned_start, owned_end)), pred in zip(tasks, output):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result[document_id][owned_start:owned_end] = pred[owned_start-start:owned_end-start]</w:t>
      </w:r>
    </w:p>
    <w:p>
      <w:pPr>
        <w:spacing w:after="40"/>
      </w:pPr>
    </w:p>
    <w:p>
      <w:pPr>
        <w:pStyle w:val="Heading1"/>
      </w:pPr>
      <w:r>
        <w:rPr>
          <w:b w:val="0"/>
        </w:rPr>
        <w:t>5. 完整测试评价</w:t>
      </w:r>
    </w:p>
    <w:p>
      <w:r>
        <w:rPr>
          <w:b w:val="0"/>
        </w:rPr>
        <w:t xml:space="preserve">主指标采用排除无标点类别的标点微平均 F1、七类宏平均 F1。句末边界集合为 </w:t>
      </w:r>
      <w:r>
        <w:rPr>
          <w:rFonts w:ascii="Consolas" w:hAnsi="Consolas"/>
          <w:b w:val="0"/>
          <w:sz w:val="18"/>
        </w:rPr>
        <w:t>。？！</w:t>
      </w:r>
      <w:r>
        <w:rPr>
          <w:b w:val="0"/>
        </w:rPr>
        <w:t>。同位置错误标点类型同时形成一个假阳性和一个假阴性。表中时间为一次完整测试端到端运行，重复测速另见第 6 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1276"/>
        <w:gridCol w:w="737"/>
        <w:gridCol w:w="1417"/>
        <w:gridCol w:w="1701"/>
        <w:gridCol w:w="1701"/>
        <w:gridCol w:w="1871"/>
      </w:tblGrid>
      <w:tr>
        <w:trPr>
          <w:tblHeader/>
        </w:trPr>
        <w:tc>
          <w:tcPr>
            <w:tcW w:type="dxa" w:w="822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语料</w:t>
            </w:r>
          </w:p>
        </w:tc>
        <w:tc>
          <w:tcPr>
            <w:tcW w:type="dxa" w:w="1276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推进方法</w:t>
            </w:r>
          </w:p>
        </w:tc>
        <w:tc>
          <w:tcPr>
            <w:tcW w:type="dxa" w:w="73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Batch</w:t>
            </w:r>
          </w:p>
        </w:tc>
        <w:tc>
          <w:tcPr>
            <w:tcW w:type="dxa" w:w="141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标点微 F1</w:t>
            </w:r>
          </w:p>
        </w:tc>
        <w:tc>
          <w:tcPr>
            <w:tcW w:type="dxa" w:w="170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标点宏 F1</w:t>
            </w:r>
          </w:p>
        </w:tc>
        <w:tc>
          <w:tcPr>
            <w:tcW w:type="dxa" w:w="170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句末边界 F1</w:t>
            </w:r>
          </w:p>
        </w:tc>
        <w:tc>
          <w:tcPr>
            <w:tcW w:type="dxa" w:w="187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完整测试时间 / s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0.6665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0.8570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59.71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0.8161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0.6666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0.8569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35.88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0.6688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0.8577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58.81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0.8172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0.6689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0.8576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34.48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0.5993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0.6321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42.26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0.5994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0.4725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0.6321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17.81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0.5993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0.6321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42.50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0.5994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0.4725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0.6321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17.85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/>
        </w:trPr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语料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标点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Precision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Recall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F1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真实位置数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，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0.8242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0.8189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0.8215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49,609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。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0.8363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0.8685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0.8521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23,864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？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0.7628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0.8148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0.7879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513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！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0.5263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0.2516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0.3404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318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、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0.8077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0.8154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0.8115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13,934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：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0.7683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0.6388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0.6976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2,165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现代文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；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0.5151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0.2898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0.3709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1,770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，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0.6812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0.5592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0.6142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44,109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。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0.6920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0.5296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0.6000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21,280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？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0.5783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0.6284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0.6023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1,305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！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0.2922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0.2185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0.2500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737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、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0.5662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0.3436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0.4277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2,925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：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0.8423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0.6490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0.7331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3,860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CCLUE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；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0.1611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0.0534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0.0802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1,274</w:t>
            </w:r>
          </w:p>
        </w:tc>
      </w:tr>
    </w:tbl>
    <w:p>
      <w:pPr>
        <w:spacing w:after="40"/>
      </w:pPr>
    </w:p>
    <w:p>
      <w:r>
        <w:rPr>
          <w:b w:val="0"/>
        </w:rPr>
        <w:t>现代文固定窗口 batch=8 相对 batch=1 有 23 个位置的预测标签不同，全量评分位置为 1,106,476 个。 CCLUE固定窗口 batch=8 相对 batch=1 有 48 个位置的预测标签不同，全量评分位置为 417,786 个。 FP16 批处理可能改变少量临界分数处的最大类别，质量结论以实际统计为准。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各类标点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5　现代文测试与 CCLUE 迁移测试的各类标点 F1。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7586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混淆矩阵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5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6　按真实标签归一化的混淆矩阵。</w:t>
      </w:r>
    </w:p>
    <w:p>
      <w:pPr>
        <w:pStyle w:val="Heading1"/>
      </w:pPr>
      <w:r>
        <w:rPr>
          <w:b w:val="0"/>
        </w:rPr>
        <w:t>6. 长文推理效率与显存</w:t>
      </w:r>
    </w:p>
    <w:p>
      <w:r>
        <w:rPr>
          <w:b w:val="0"/>
        </w:rPr>
        <w:t>选取测试集中一篇最长连续文章作为单篇负载，从至少 2,000 字的真实测试文章中按种子 42 选取 24 篇作为多篇负载。每个组合预热后重复五次，计时包含分词、数据传输、前向预测、取最大类别和拼接，排除模型加载；GPU 在计时边界同步。吞吐分母采用原文字符数，重叠字符按原位置计算一次。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22"/>
        <w:gridCol w:w="1276"/>
        <w:gridCol w:w="737"/>
        <w:gridCol w:w="1417"/>
        <w:gridCol w:w="1701"/>
        <w:gridCol w:w="1701"/>
        <w:gridCol w:w="1871"/>
      </w:tblGrid>
      <w:tr>
        <w:trPr>
          <w:tblHeader/>
        </w:trPr>
        <w:tc>
          <w:tcPr>
            <w:tcW w:type="dxa" w:w="822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负载</w:t>
            </w:r>
          </w:p>
        </w:tc>
        <w:tc>
          <w:tcPr>
            <w:tcW w:type="dxa" w:w="1276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73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Batch</w:t>
            </w:r>
          </w:p>
        </w:tc>
        <w:tc>
          <w:tcPr>
            <w:tcW w:type="dxa" w:w="141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中位时间 / s</w:t>
            </w:r>
          </w:p>
        </w:tc>
        <w:tc>
          <w:tcPr>
            <w:tcW w:type="dxa" w:w="170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原文字符 / s</w:t>
            </w:r>
          </w:p>
        </w:tc>
        <w:tc>
          <w:tcPr>
            <w:tcW w:type="dxa" w:w="170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峰值分配显存 / MiB</w:t>
            </w:r>
          </w:p>
        </w:tc>
        <w:tc>
          <w:tcPr>
            <w:tcW w:type="dxa" w:w="1871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标点微 F1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4.050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17,802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589.2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0.8164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2.620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27,520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617.6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0.8163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2.277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31,662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655.7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0.8165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2.259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31,922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731.2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0.8165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3.690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19,541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589.2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0.8214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2.856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25,250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598.6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0.8213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2.404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29,990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617.6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0.8213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2.043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35,295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655.7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0.8213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1.994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36,170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731.2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0.8213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多篇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1.917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37,624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882.9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0.8213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17,881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588.3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0.8178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0.625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17,854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588.3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0.8178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17,671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588.3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0.8178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0.632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17,660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588.3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0.8178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0.560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19,913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589.2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0.430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25,965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597.8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0.349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31,968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615.0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0.295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37,845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650.4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  <w:tr>
        <w:tc>
          <w:tcPr>
            <w:tcW w:type="dxa" w:w="822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0.287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38,861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722.1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  <w:tr>
        <w:tc>
          <w:tcPr>
            <w:tcW w:type="dxa" w:w="822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单篇</w:t>
            </w:r>
          </w:p>
        </w:tc>
        <w:tc>
          <w:tcPr>
            <w:tcW w:type="dxa" w:w="1276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73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141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0.287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38,908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864.5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0.8254</w:t>
            </w:r>
          </w:p>
        </w:tc>
      </w:tr>
    </w:tbl>
    <w:p>
      <w:pPr>
        <w:spacing w:after="40"/>
      </w:pPr>
    </w:p>
    <w:p>
      <w:r>
        <w:rPr>
          <w:b w:val="0"/>
        </w:rPr>
        <w:t>单篇长文中，固定窗口方案在 batch=32 时取得本次组合内的最高吞吐 38,908 字/秒，相对相同窗口的 batch=1 加速 1.95 倍；相对句号推进 batch=1 的整体加速为 2.18 倍。前一个比值反映批处理收益，后一个比值同时包含窗口策略和批处理变化。该组合的标点微 F1 为 0.8254，句号推进基线为 0.8178。</w:t>
      </w:r>
      <w:r>
        <w:rPr>
          <w:b w:val="0"/>
        </w:rPr>
        <w:br/>
      </w:r>
      <w:r>
        <w:rPr>
          <w:b w:val="0"/>
        </w:rPr>
        <w:t>多篇长文中，固定窗口方案在 batch=32 时取得本次组合内的最高吞吐 37,624 字/秒，相对相同窗口的 batch=1 加速 1.93 倍；相对句号推进 batch=1 的整体加速为 2.11 倍。前一个比值反映批处理收益，后一个比值同时包含窗口策略和批处理变化。该组合的标点微 F1 为 0.8213，句号推进基线为 0.8164。</w:t>
      </w:r>
    </w:p>
    <w:p>
      <w:r>
        <w:rPr>
          <w:b w:val="0"/>
        </w:rPr>
        <w:t>测速同时用 CUDA Event 累计模型前向时间，并用 CPU 时钟累计分词时间；完整时间仍包含传输、取最大类别和拼接。分阶段统计保存在图 7 对应 CSV，避免将纯模型时间与用户等待的总时间混用。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批量吞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7　相同长文负载上的批量推理吞吐。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5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批量显存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8　不同 batch 的 PyTorch 峰值分配显存；桌面进程和驱动显存另外占用设备容量。</w:t>
      </w:r>
    </w:p>
    <w:p>
      <w:r>
        <w:rPr>
          <w:b w:val="0"/>
        </w:rPr>
        <w:t>接缝分析以固定窗口拥有区域的边界前后各 20 字为范围，指标及有效位置数保存在 benchmark JSON。CCLUE 发布段落均短于 400 字，该项测试衡量其固定短段落上的标点迁移质量；长文效率实验使用保持真实顺序的现代文文章。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/>
        </w:trPr>
        <w:tc>
          <w:tcPr>
            <w:tcW w:type="dxa" w:w="1905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905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Batch</w:t>
            </w:r>
          </w:p>
        </w:tc>
        <w:tc>
          <w:tcPr>
            <w:tcW w:type="dxa" w:w="1905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接缝评分位置数</w:t>
            </w:r>
          </w:p>
        </w:tc>
        <w:tc>
          <w:tcPr>
            <w:tcW w:type="dxa" w:w="1905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接缝微 F1</w:t>
            </w:r>
          </w:p>
        </w:tc>
        <w:tc>
          <w:tcPr>
            <w:tcW w:type="dxa" w:w="1905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全文微 F1</w:t>
            </w:r>
          </w:p>
        </w:tc>
      </w:tr>
      <w:tr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94,858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0.8112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0.8162</w:t>
            </w:r>
          </w:p>
        </w:tc>
      </w:tr>
      <w:tr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94,858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0.8108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0.8161</w:t>
            </w:r>
          </w:p>
        </w:tc>
      </w:tr>
      <w:tr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94,858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0.8141</w:t>
            </w:r>
          </w:p>
        </w:tc>
        <w:tc>
          <w:tcPr>
            <w:tcW w:type="dxa" w:w="1905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0.8172</w:t>
            </w:r>
          </w:p>
        </w:tc>
      </w:tr>
      <w:tr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94,858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0.8141</w:t>
            </w:r>
          </w:p>
        </w:tc>
        <w:tc>
          <w:tcPr>
            <w:tcW w:type="dxa" w:w="1905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0.8172</w:t>
            </w:r>
          </w:p>
        </w:tc>
      </w:tr>
    </w:tbl>
    <w:p>
      <w:pPr>
        <w:spacing w:after="40"/>
      </w:pPr>
    </w:p>
    <w:p>
      <w:r>
        <w:rPr>
          <w:b w:val="0"/>
        </w:rPr>
        <w:t>上表将全部方法放在相同的固定窗口接缝坐标上评价，能够比较这些位置的预测质量。单篇句号推进方法的实际 batch 始终为 1，因此仅提高请求 batch 对其吞吐的影响主要来自运行波动；固定切窗使同篇文章的多个窗口实际进入同一前向批次。</w:t>
      </w:r>
    </w:p>
    <w:p>
      <w:pPr>
        <w:pStyle w:val="Heading1"/>
      </w:pPr>
      <w:r>
        <w:rPr>
          <w:b w:val="0"/>
        </w:rPr>
        <w:t>7. 《论语》纯文言专项评测</w:t>
      </w:r>
    </w:p>
    <w:p>
      <w:pPr>
        <w:pStyle w:val="Heading2"/>
      </w:pPr>
      <w:r>
        <w:rPr>
          <w:b w:val="0"/>
        </w:rPr>
        <w:t>7.1 文本来源与版本核查</w:t>
      </w:r>
    </w:p>
    <w:p>
      <w:r>
        <w:rPr>
          <w:b w:val="0"/>
        </w:rPr>
        <w:t xml:space="preserve">补充数据取自 </w:t>
      </w:r>
      <w:hyperlink r:id="rId22">
        <w:r>
          <w:rPr>
            <w:color w:val="285B90"/>
          </w:rPr>
          <w:t>chinese-poetry 项目的《论语》JSON</w:t>
        </w:r>
      </w:hyperlink>
      <w:r>
        <w:rPr>
          <w:b w:val="0"/>
        </w:rPr>
        <w:t xml:space="preserve">，固定提交 </w:t>
      </w:r>
      <w:r>
        <w:rPr>
          <w:rFonts w:ascii="Consolas" w:hAnsi="Consolas"/>
          <w:b w:val="0"/>
          <w:sz w:val="18"/>
        </w:rPr>
        <w:t>b8594f81a89752241442f2ce267d6f66f96704ee</w:t>
      </w:r>
      <w:r>
        <w:rPr>
          <w:b w:val="0"/>
        </w:rPr>
        <w:t>。原始 JSON、README 和 MIT 许可证分别保存字节指纹。本次使用全部 20 篇、512 条语录，共 15,917 个去标点正文字符；有效评分位置为 15,915 个。</w:t>
      </w:r>
    </w:p>
    <w:p>
      <w:r>
        <w:rPr>
          <w:b w:val="0"/>
        </w:rPr>
        <w:t>版本核查发现，上游 README 写“繁体分发”和“492章”，固定 JSON 实际为简体、512 条记录。本实验以实际文件为准，保留记录顺序和原字；该来源属于可追溯的开源电子文本，参考标点采用其固定版本。</w:t>
      </w:r>
      <w:hyperlink r:id="rId23">
        <w:r>
          <w:rPr>
            <w:color w:val="285B90"/>
          </w:rPr>
          <w:t>中国哲学书电子化计划《学而》</w:t>
        </w:r>
      </w:hyperlink>
      <w:r>
        <w:rPr>
          <w:b w:val="0"/>
        </w:rPr>
        <w:t>用于开篇段落抽查，首条语录相符，第二条在“不好犯上”之后存在逗号差异。两版标点分别保留，本次未用抽查版本批量替换参考标签。</w:t>
      </w:r>
    </w:p>
    <w:p>
      <w:r>
        <w:rPr>
          <w:b w:val="0"/>
        </w:rPr>
        <w:t>预处理将文件中的 5 个英文逗号、1 个英文问号和1个英文冒号映射为对应中文标点，计数保存到来源记录。引号和书名号按八类任务范围移除，两个连续主标点冲突位置采用与主实验相同的忽略规则。全部原始文字和原始标点保存在下载文件中。</w:t>
      </w:r>
    </w:p>
    <w:p>
      <w:pPr>
        <w:pStyle w:val="Heading2"/>
      </w:pPr>
      <w:r>
        <w:rPr>
          <w:b w:val="0"/>
        </w:rPr>
        <w:t>7.2 同一模型的两种输入粒度</w:t>
      </w:r>
    </w:p>
    <w:p>
      <w:r>
        <w:rPr>
          <w:b w:val="0"/>
        </w:rPr>
        <w:t>专项评测加载原新闻模型，模型权重在本次评测前后的 SHA-256 相同，新增训练步数为零。短输入按512条语录分别评价；长输入按电子文本原顺序将同篇语录合并为20篇，标题不进入正文。单条最长 315 字，整篇最长 1,339 字，17 篇超过510个正文字符。整篇是原有语录编排下的输入，文体属于语录集。</w:t>
      </w:r>
    </w:p>
    <w:p>
      <w:r>
        <w:rPr>
          <w:b w:val="0"/>
        </w:rPr>
        <w:t>两种粒度覆盖同一套正文与标签，各自独立汇总分数。逐条输入保留发布文本给出的语录边界，整篇输入需要模型自行恢复内部标点；两组分数的差异同时受到边界提示及窗口上下文的影响。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/>
        </w:trPr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输入粒度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Batch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标点微 F1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七类宏 F1</w:t>
            </w:r>
          </w:p>
        </w:tc>
        <w:tc>
          <w:tcPr>
            <w:tcW w:type="dxa" w:w="1587"/>
            <w:vAlign w:val="center"/>
            <w:shd w:fill="DBE7F1"/>
          </w:tcPr>
          <w:p>
            <w:pPr>
              <w:keepNext/>
              <w:spacing w:after="80" w:before="80" w:line="264" w:lineRule="auto"/>
              <w:jc w:val="center"/>
            </w:pPr>
            <w:r>
              <w:rPr>
                <w:b/>
                <w:sz w:val="17"/>
              </w:rPr>
              <w:t>句末边界 F1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512 条语录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0.6488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0.4759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0.7305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512 条语录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0.6488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0.4759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0.7305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512 条语录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0.6488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0.4759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0.7305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512 条语录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0.6488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0.4759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0.7305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20 篇全文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0.6195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0.4209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0.6618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20 篇全文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固定重叠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0.6191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0.4205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0.6618</w:t>
            </w:r>
          </w:p>
        </w:tc>
      </w:tr>
      <w:tr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20 篇全文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0.6174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0.4174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0.6613</w:t>
            </w:r>
          </w:p>
        </w:tc>
      </w:tr>
      <w:tr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20 篇全文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句号推进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0.6171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0.4171</w:t>
            </w:r>
          </w:p>
        </w:tc>
        <w:tc>
          <w:tcPr>
            <w:tcW w:type="dxa" w:w="1587"/>
            <w:vAlign w:val="center"/>
            <w:shd w:fill="F4F7FA"/>
          </w:tcPr>
          <w:p>
            <w:pPr>
              <w:spacing w:after="80" w:before="80" w:line="264" w:lineRule="auto"/>
              <w:jc w:val="center"/>
            </w:pPr>
            <w:r>
              <w:rPr>
                <w:b w:val="0"/>
                <w:sz w:val="17"/>
              </w:rPr>
              <w:t>0.6613</w:t>
            </w:r>
          </w:p>
        </w:tc>
      </w:tr>
    </w:tbl>
    <w:p>
      <w:pPr>
        <w:spacing w:after="40"/>
      </w:pPr>
    </w:p>
    <w:p>
      <w:r>
        <w:rPr>
          <w:b w:val="0"/>
        </w:rPr>
        <w:t>固定窗口 batch=8 时，逐条语录的 Precision 为 0.7166、Recall 为 0.5927，微 F1 为 0.6488；整篇对应微 F1 为 0.6191、Recall 为 0.5741。这些分数衡量与选定电子版本标点的一致性。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6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论语各类标点F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9　《论语》逐条语录与整篇输入的各类标点 F1。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论语逐篇结果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10　《论语》20篇的固定窗口预测结果；虚线为全书汇总微 F1。</w:t>
      </w:r>
    </w:p>
    <w:p>
      <w:pPr>
        <w:pStyle w:val="Heading2"/>
      </w:pPr>
      <w:r>
        <w:rPr>
          <w:b w:val="0"/>
        </w:rPr>
        <w:t>7.3 实际输出与结果解释</w:t>
      </w:r>
    </w:p>
    <w:p>
      <w:r>
        <w:rPr>
          <w:b w:val="0"/>
        </w:rPr>
      </w:r>
      <w:r>
        <w:rPr>
          <w:b/>
        </w:rPr>
        <w:t>开篇语录（</w:t>
      </w:r>
      <w:r>
        <w:rPr>
          <w:rFonts w:ascii="Consolas" w:hAnsi="Consolas"/>
          <w:b/>
          <w:sz w:val="18"/>
        </w:rPr>
        <w:t>lunyu-01-001</w:t>
      </w:r>
      <w:r>
        <w:rPr>
          <w:b/>
        </w:rPr>
        <w:t>）</w:t>
      </w:r>
      <w:r>
        <w:rPr>
          <w:b w:val="0"/>
        </w:rPr>
      </w:r>
    </w:p>
    <w:p>
      <w:r>
        <w:rPr>
          <w:b w:val="0"/>
        </w:rPr>
        <w:t>完整语录共32字，标点微F1为0.9231。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2939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yu_open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9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11　《论语》开篇语录的参考标点与实际预测。</w:t>
      </w:r>
    </w:p>
    <w:p>
      <w:r>
        <w:rPr>
          <w:b w:val="0"/>
        </w:rPr>
      </w:r>
      <w:r>
        <w:rPr>
          <w:b/>
        </w:rPr>
        <w:t>最长单条语录（</w:t>
      </w:r>
      <w:r>
        <w:rPr>
          <w:rFonts w:ascii="Consolas" w:hAnsi="Consolas"/>
          <w:b/>
          <w:sz w:val="18"/>
        </w:rPr>
        <w:t>lunyu-11-026</w:t>
      </w:r>
      <w:r>
        <w:rPr>
          <w:b/>
        </w:rPr>
        <w:t>）</w:t>
      </w:r>
      <w:r>
        <w:rPr>
          <w:b w:val="0"/>
        </w:rPr>
      </w:r>
    </w:p>
    <w:p>
      <w:r>
        <w:rPr>
          <w:b w:val="0"/>
        </w:rPr>
        <w:t>完整语录共315字，标点微F1为0.5797。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yu_long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12　《论语》最长单条语录的参考标点与实际预测。</w:t>
      </w:r>
    </w:p>
    <w:p>
      <w:r>
        <w:rPr>
          <w:b w:val="0"/>
        </w:rPr>
      </w:r>
      <w:r>
        <w:rPr>
          <w:b/>
        </w:rPr>
        <w:t>低分语录（</w:t>
      </w:r>
      <w:r>
        <w:rPr>
          <w:rFonts w:ascii="Consolas" w:hAnsi="Consolas"/>
          <w:b/>
          <w:sz w:val="18"/>
        </w:rPr>
        <w:t>lunyu-11-003</w:t>
      </w:r>
      <w:r>
        <w:rPr>
          <w:b/>
        </w:rPr>
        <w:t>）</w:t>
      </w:r>
      <w:r>
        <w:rPr>
          <w:b w:val="0"/>
        </w:rPr>
      </w:r>
    </w:p>
    <w:p>
      <w:r>
        <w:rPr>
          <w:b w:val="0"/>
        </w:rPr>
        <w:t>完整语录共30字，标点微F1为0.0000。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12939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yu_lowest_f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29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13　《论语》低分语录的参考标点与实际预测。</w:t>
      </w:r>
    </w:p>
    <w:p>
      <w:r>
        <w:rPr>
          <w:b w:val="0"/>
        </w:rPr>
        <w:t>开篇预测能识别多数问句，仍漏掉“有朋自远方来”后的逗号。人物分类列举的低分样例中，模型将全部位置预测为无标点。分类指标显示冒号表现较好，顿号、叹号及分号较弱。较高的短条语录成绩没有消除整篇输入中的漏标和类型混淆，因此本轮模型适合提供标点初稿，整篇文言输出仍需要人工复核。</w:t>
      </w:r>
    </w:p>
    <w:p>
      <w:r>
        <w:rPr>
          <w:b w:val="0"/>
        </w:rPr>
        <w:t>针对监督训练的原文重合检查，在新闻训练集中找到 1 条完整语录的文字匹配，长度8字。剔除该语录后的 511 条微 F1 为 0.6490，接近全部语录结果。这个检查仅覆盖新闻监督训练文本的完整语录匹配；通用BERT的预训练材料可能包含常见经典文本，本实验不据此声称《论语》对预训练模型完全陌生。</w:t>
      </w:r>
    </w:p>
    <w:p>
      <w:r>
        <w:rPr>
          <w:b w:val="0"/>
        </w:rPr>
        <w:t>本轮保留新闻训练、CCLUE混合文体迁移和《论语》纯文言专项结果，分别说明各自的数据范围。按本次实验决定，古文领域继续微调暂缓。</w:t>
      </w:r>
    </w:p>
    <w:p>
      <w:pPr>
        <w:pStyle w:val="Heading1"/>
      </w:pPr>
      <w:r>
        <w:rPr>
          <w:b w:val="0"/>
        </w:rPr>
        <w:t>8. 主实验实际预测与错误分析</w:t>
      </w:r>
    </w:p>
    <w:p>
      <w:r>
        <w:rPr>
          <w:b w:val="0"/>
        </w:rPr>
        <w:t>样例规则固定为首个中等长度样例、首个含问号样例、最长样例，以及含至少五个标点的中等长度样例中微 F1 最低者。样例覆盖正常输出、少数类、长文与失败案例。完整逐字预测可从</w:t>
      </w:r>
      <w:hyperlink r:id="rId29">
        <w:r>
          <w:rPr>
            <w:color w:val="285B90"/>
          </w:rPr>
          <w:t>实验归档</w:t>
        </w:r>
      </w:hyperlink>
      <w:r>
        <w:rPr>
          <w:b w:val="0"/>
        </w:rPr>
        <w:t>下载，各样例图下附在线结果链接。</w:t>
      </w:r>
    </w:p>
    <w:p>
      <w:r>
        <w:rPr>
          <w:b w:val="0"/>
        </w:rPr>
        <w:t>示例采用上下对齐的参考／预测图。绿色表示正确标点，橙色“×”表示漏标，红色表示多标，紫色表示类型错误，灰色“·”表示该位置按原实验规则不评分。图中的排版空白只用于对齐。颜色标记均由保存的逐字标签与预测直接生成。</w:t>
      </w:r>
    </w:p>
    <w:p>
      <w:r>
        <w:rPr>
          <w:b w:val="0"/>
        </w:rPr>
      </w:r>
      <w:r>
        <w:rPr>
          <w:b/>
        </w:rPr>
        <w:t>两个源字符的核查。</w:t>
      </w:r>
      <w:r>
        <w:rPr>
          <w:b w:val="0"/>
        </w:rPr>
        <w:t xml:space="preserve"> 人民日报原始段落 </w:t>
      </w:r>
      <w:r>
        <w:rPr>
          <w:rFonts w:ascii="Consolas" w:hAnsi="Consolas"/>
          <w:b w:val="0"/>
          <w:sz w:val="18"/>
        </w:rPr>
        <w:t>19980304-02-002-001</w:t>
      </w:r>
      <w:r>
        <w:rPr>
          <w:b w:val="0"/>
        </w:rPr>
        <w:t xml:space="preserve"> 在标题中已经含有 </w:t>
      </w:r>
      <w:r>
        <w:rPr>
          <w:rFonts w:ascii="Consolas" w:hAnsi="Consolas"/>
          <w:b w:val="0"/>
          <w:sz w:val="18"/>
        </w:rPr>
        <w:t>〓</w:t>
      </w:r>
      <w:r>
        <w:rPr>
          <w:b w:val="0"/>
        </w:rPr>
        <w:t xml:space="preserve">，其 Unicode 为 U+3013，名称 GETA MARK，常用于缺字或不可表示字符的占位；原文件编码字节为 </w:t>
      </w:r>
      <w:r>
        <w:rPr>
          <w:rFonts w:ascii="Consolas" w:hAnsi="Consolas"/>
          <w:b w:val="0"/>
          <w:sz w:val="18"/>
        </w:rPr>
        <w:t>A1 FE</w:t>
      </w:r>
      <w:r>
        <w:rPr>
          <w:b w:val="0"/>
        </w:rPr>
        <w:t>。现有材料无法确认该标题位置原本代表什么字符，示例图用黄色方框保留位置并标注编码。</w:t>
      </w:r>
    </w:p>
    <w:p>
      <w:r>
        <w:rPr>
          <w:b w:val="0"/>
        </w:rPr>
        <w:t xml:space="preserve">CCLUE 原始测试文件在“巴东朐”之后含 U+E583，属于 Unicode 私用区，缺少原配字库或映射表时没有可通用解释的字义。旧报告中的 </w:t>
      </w:r>
      <w:r>
        <w:rPr>
          <w:rFonts w:ascii="Consolas" w:hAnsi="Consolas"/>
          <w:b w:val="0"/>
          <w:sz w:val="18"/>
        </w:rPr>
        <w:t>[U+E583]</w:t>
      </w:r>
      <w:r>
        <w:rPr>
          <w:b w:val="0"/>
        </w:rPr>
        <w:t xml:space="preserve"> 是该字符的可见编码说明。此次图中统一显示为黄色方框，注出 U+E583；源数据、模型输入处理、标签与既有分数均保持原样。完整核查记录见</w:t>
      </w:r>
      <w:hyperlink r:id="rId30">
        <w:r>
          <w:rPr>
            <w:color w:val="285B90"/>
          </w:rPr>
          <w:t>字符核查结果</w:t>
        </w:r>
      </w:hyperlink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现代文：中等长度样例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19980104-02-002-3</w:t>
      </w:r>
      <w:r>
        <w:rPr>
          <w:b w:val="0"/>
        </w:rPr>
        <w:t>；全文 109 字，全文标点微 F1 为 0.8889。图中展示原位置上的字符与其后标点，完整样例见</w:t>
      </w:r>
      <w:hyperlink r:id="rId31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first_mediu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14　现代文中等长度样例的实际预测。</w:t>
      </w:r>
    </w:p>
    <w:p>
      <w:pPr>
        <w:pStyle w:val="Heading2"/>
      </w:pPr>
      <w:r>
        <w:rPr>
          <w:b w:val="0"/>
        </w:rPr>
        <w:t>现代文：问号样例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19980103-03-004-11</w:t>
      </w:r>
      <w:r>
        <w:rPr>
          <w:b w:val="0"/>
        </w:rPr>
        <w:t>；全文 1,449 字，全文标点微 F1 为 0.9296。图中展示原位置上的字符与其后标点，完整样例见</w:t>
      </w:r>
      <w:hyperlink r:id="rId31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first_ques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15　现代文问号样例的实际预测。</w:t>
      </w:r>
    </w:p>
    <w:p>
      <w:pPr>
        <w:pStyle w:val="Heading2"/>
      </w:pPr>
      <w:r>
        <w:rPr>
          <w:b w:val="0"/>
        </w:rPr>
        <w:t>现代文：最长样例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19980304-02-002-114</w:t>
      </w:r>
      <w:r>
        <w:rPr>
          <w:b w:val="0"/>
        </w:rPr>
        <w:t>；全文 11,159 字，全文标点微 F1 为 0.8254。图中展示原位置上的字符与其后标点，完整样例见</w:t>
      </w:r>
      <w:hyperlink r:id="rId31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longe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16　现代文最长样例的实际预测。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seam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17　位置350前后各40字的接缝对照。</w:t>
      </w:r>
    </w:p>
    <w:p>
      <w:pPr>
        <w:pStyle w:val="Heading2"/>
      </w:pPr>
      <w:r>
        <w:rPr>
          <w:b w:val="0"/>
        </w:rPr>
        <w:t>现代文：低分样例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19980507-04-007-20</w:t>
      </w:r>
      <w:r>
        <w:rPr>
          <w:b w:val="0"/>
        </w:rPr>
        <w:t>；全文 239 字，全文标点微 F1 为 0.0000。图中展示原位置上的字符与其后标点，完整样例见</w:t>
      </w:r>
      <w:hyperlink r:id="rId31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lowest_f1_medium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18　现代文低分样例的实际预测。</w:t>
      </w:r>
    </w:p>
    <w:p>
      <w:pPr>
        <w:pStyle w:val="Heading2"/>
      </w:pPr>
      <w:r>
        <w:rPr>
          <w:b w:val="0"/>
        </w:rPr>
        <w:t>CCLUE：中等长度样例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cclue-test-1-4</w:t>
      </w:r>
      <w:r>
        <w:rPr>
          <w:b w:val="0"/>
        </w:rPr>
        <w:t>；全文 100 字，全文标点微 F1 为 0.5556。图中展示原位置上的字符与其后标点，完整样例见</w:t>
      </w:r>
      <w:hyperlink r:id="rId37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lue_first_medium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19　CCLUE中等长度样例的实际预测。</w:t>
      </w:r>
    </w:p>
    <w:p>
      <w:pPr>
        <w:pStyle w:val="Heading2"/>
      </w:pPr>
      <w:r>
        <w:rPr>
          <w:b w:val="0"/>
        </w:rPr>
        <w:t>CCLUE：问号样例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cclue-test-2-24</w:t>
      </w:r>
      <w:r>
        <w:rPr>
          <w:b w:val="0"/>
        </w:rPr>
        <w:t>；全文 92 字，全文标点微 F1 为 0.7368。图中展示原位置上的字符与其后标点，完整样例见</w:t>
      </w:r>
      <w:hyperlink r:id="rId37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lue_first_question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20　CCLUE问号样例的实际预测。</w:t>
      </w:r>
    </w:p>
    <w:p>
      <w:pPr>
        <w:pStyle w:val="Heading2"/>
      </w:pPr>
      <w:r>
        <w:rPr>
          <w:b w:val="0"/>
        </w:rPr>
        <w:t>CCLUE：最长样例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cclue-test-108-1964</w:t>
      </w:r>
      <w:r>
        <w:rPr>
          <w:b w:val="0"/>
        </w:rPr>
        <w:t>；全文 230 字，全文标点微 F1 为 0.9057。图中展示原位置上的字符与其后标点，完整样例见</w:t>
      </w:r>
      <w:hyperlink r:id="rId37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4142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lue_longes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4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21　CCLUE最长样例的实际预测。</w:t>
      </w:r>
    </w:p>
    <w:p>
      <w:pPr>
        <w:pStyle w:val="Heading2"/>
      </w:pPr>
      <w:r>
        <w:rPr>
          <w:b w:val="0"/>
        </w:rPr>
        <w:t>CCLUE：低分样例</w:t>
      </w:r>
    </w:p>
    <w:p>
      <w:r>
        <w:rPr>
          <w:b w:val="0"/>
        </w:rPr>
        <w:t>样例编号：</w:t>
      </w:r>
      <w:r>
        <w:rPr>
          <w:rFonts w:ascii="Consolas" w:hAnsi="Consolas"/>
          <w:b w:val="0"/>
          <w:sz w:val="18"/>
        </w:rPr>
        <w:t>cclue-test-83-1460</w:t>
      </w:r>
      <w:r>
        <w:rPr>
          <w:b w:val="0"/>
        </w:rPr>
        <w:t>；全文 129 字，全文标点微 F1 为 0.0000。图中展示原位置上的字符与其后标点，完整样例见</w:t>
      </w:r>
      <w:hyperlink r:id="rId37">
        <w:r>
          <w:rPr>
            <w:color w:val="285B90"/>
          </w:rPr>
          <w:t>结果 JSON</w:t>
        </w:r>
      </w:hyperlink>
      <w:r>
        <w:rPr>
          <w:b w:val="0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5651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lue_lowest_f1_medi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65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</w:rPr>
        <w:t>图 22　CCLUE低分样例的实际预测。</w:t>
      </w:r>
    </w:p>
    <w:p>
      <w:pPr>
        <w:pStyle w:val="Heading1"/>
      </w:pPr>
      <w:r>
        <w:rPr>
          <w:b w:val="0"/>
        </w:rPr>
        <w:t>9. 结果解释与复现</w:t>
      </w:r>
    </w:p>
    <w:p>
      <w:r>
        <w:rPr>
          <w:b w:val="0"/>
        </w:rPr>
        <w:t>本实验完成新闻语料全量微调、完整留出集评价、CCLUE 固定划分迁移评价，以及单篇和多篇长文的批量效率对照。微平均反映主要标点的整体恢复，宏平均及每类支持数揭示问号、叹号等少数类别的行为。CCLUE 的混合文体、发布者预处理及版本标点习惯共同界定了迁移分数的解释范围。</w:t>
      </w:r>
    </w:p>
    <w:p>
      <w:r>
        <w:rPr>
          <w:b w:val="0"/>
        </w:rPr>
        <w:t>错误矩阵显示两类具体问题：现代文中叹号和分号较多地混淆为句号或逗号，CCLUE 中大量真实逗号、句号和顿号被预测为无标点。新闻语料训练形成的标点习惯迁移到该集合时，整体召回下降。领域适配可作为下一组独立对照，先复核训练数据的文体和来源，再以独立开发集选模，保留本轮新闻模型与测试结果作为基线。</w:t>
      </w:r>
    </w:p>
    <w:p>
      <w:r>
        <w:rPr>
          <w:b w:val="0"/>
        </w:rPr>
        <w:t>全部运行命令见</w:t>
      </w:r>
      <w:hyperlink r:id="rId10">
        <w:r>
          <w:rPr>
            <w:color w:val="285B90"/>
          </w:rPr>
          <w:t>项目说明</w:t>
        </w:r>
      </w:hyperlink>
      <w:r>
        <w:rPr>
          <w:b w:val="0"/>
        </w:rPr>
        <w:t>。训练逐步日志、每轮验证、选模记录、来源版本、数据指纹、完整测试指标、五次重复测速及 PNG/CSV 构成复现实验产物。实验固定一个训练种子，测速的重复范围是相同模型推理运行。</w:t>
      </w:r>
    </w:p>
    <w:p>
      <w:r>
        <w:rPr>
          <w:b w:val="0"/>
        </w:rPr>
      </w:r>
      <w:r>
        <w:rPr>
          <w:b/>
        </w:rPr>
        <w:t>在线复核入口：</w:t>
      </w:r>
      <w:r>
        <w:rPr>
          <w:b w:val="0"/>
        </w:rPr>
      </w:r>
      <w:hyperlink r:id="rId42">
        <w:r>
          <w:rPr>
            <w:color w:val="285B90"/>
          </w:rPr>
          <w:t>数据统计</w:t>
        </w:r>
      </w:hyperlink>
      <w:r>
        <w:rPr>
          <w:b w:val="0"/>
        </w:rPr>
        <w:t xml:space="preserve"> · </w:t>
      </w:r>
      <w:hyperlink r:id="rId43">
        <w:r>
          <w:rPr>
            <w:color w:val="285B90"/>
          </w:rPr>
          <w:t>三轮训练与验证</w:t>
        </w:r>
      </w:hyperlink>
      <w:r>
        <w:rPr>
          <w:b w:val="0"/>
        </w:rPr>
        <w:t xml:space="preserve"> · </w:t>
      </w:r>
      <w:hyperlink r:id="rId44">
        <w:r>
          <w:rPr>
            <w:color w:val="285B90"/>
          </w:rPr>
          <w:t>完整测试结果</w:t>
        </w:r>
      </w:hyperlink>
      <w:r>
        <w:rPr>
          <w:b w:val="0"/>
        </w:rPr>
        <w:t xml:space="preserve"> · </w:t>
      </w:r>
      <w:hyperlink r:id="rId45">
        <w:r>
          <w:rPr>
            <w:color w:val="285B90"/>
          </w:rPr>
          <w:t>长文测速</w:t>
        </w:r>
      </w:hyperlink>
      <w:r>
        <w:rPr>
          <w:b w:val="0"/>
        </w:rPr>
        <w:t xml:space="preserve"> · </w:t>
      </w:r>
      <w:hyperlink r:id="rId46">
        <w:r>
          <w:rPr>
            <w:color w:val="285B90"/>
          </w:rPr>
          <w:t>论语专项</w:t>
        </w:r>
      </w:hyperlink>
      <w:r>
        <w:rPr>
          <w:b w:val="0"/>
        </w:rPr>
        <w:t xml:space="preserve"> · </w:t>
      </w:r>
      <w:hyperlink r:id="rId47">
        <w:r>
          <w:rPr>
            <w:color w:val="285B90"/>
          </w:rPr>
          <w:t>图表及CSV</w:t>
        </w:r>
      </w:hyperlink>
      <w:r>
        <w:rPr>
          <w:b w:val="0"/>
        </w:rPr>
        <w:t xml:space="preserve"> · </w:t>
      </w:r>
      <w:hyperlink r:id="rId48">
        <w:r>
          <w:rPr>
            <w:color w:val="285B90"/>
          </w:rPr>
          <w:t>训练模型下载</w:t>
        </w:r>
      </w:hyperlink>
      <w:r>
        <w:rPr>
          <w:b w:val="0"/>
        </w:rPr>
        <w:t xml:space="preserve"> · </w:t>
      </w:r>
      <w:hyperlink r:id="rId29">
        <w:r>
          <w:rPr>
            <w:color w:val="285B90"/>
          </w:rPr>
          <w:t>模型与完整预测归档</w:t>
        </w:r>
      </w:hyperlink>
      <w:r>
        <w:rPr>
          <w:b w:val="0"/>
        </w:rPr>
        <w:t>。</w:t>
      </w:r>
    </w:p>
    <w:p>
      <w:pPr>
        <w:pStyle w:val="Heading1"/>
      </w:pPr>
      <w:r>
        <w:rPr>
          <w:b w:val="0"/>
        </w:rPr>
        <w:t>参考文献与项目</w:t>
      </w:r>
    </w:p>
    <w:p>
      <w:r>
        <w:rPr>
          <w:b w:val="0"/>
        </w:rPr>
        <w:t xml:space="preserve">Devlin J, Chang M W, Lee K, Toutanova K. </w:t>
      </w:r>
      <w:hyperlink r:id="rId49">
        <w:r>
          <w:rPr>
            <w:color w:val="285B90"/>
          </w:rPr>
          <w:t>BERT: Pre-training of Deep Bidirectional Transformers for Language Understanding</w:t>
        </w:r>
      </w:hyperlink>
      <w:r>
        <w:rPr>
          <w:b w:val="0"/>
        </w:rPr>
        <w:t>. NAACL, 2019, 4171–4186.</w:t>
      </w:r>
    </w:p>
    <w:p>
      <w:hyperlink r:id="rId12">
        <w:r>
          <w:rPr>
            <w:color w:val="285B90"/>
          </w:rPr>
          <w:t>google-bert/bert-base-chinese 模型卡及配置</w:t>
        </w:r>
      </w:hyperlink>
      <w:r>
        <w:rPr>
          <w:b w:val="0"/>
        </w:rPr>
        <w:t>. 预训练权重与 tokenizer 来源。</w:t>
      </w:r>
    </w:p>
    <w:p>
      <w:hyperlink r:id="rId50">
        <w:r>
          <w:rPr>
            <w:color w:val="285B90"/>
          </w:rPr>
          <w:t>Hugging Face Transformers: Token classification</w:t>
        </w:r>
      </w:hyperlink>
      <w:r>
        <w:rPr>
          <w:b w:val="0"/>
        </w:rPr>
        <w:t>. 任务头、标签对齐和屏蔽损失的实现依据。</w:t>
      </w:r>
    </w:p>
    <w:p>
      <w:hyperlink r:id="rId16">
        <w:r>
          <w:rPr>
            <w:color w:val="285B90"/>
          </w:rPr>
          <w:t>CCLUE 古文语言理解测评基准</w:t>
        </w:r>
      </w:hyperlink>
      <w:r>
        <w:rPr>
          <w:b w:val="0"/>
        </w:rPr>
        <w:t>. 古文标点标签、固定划分与数据构造说明。</w:t>
      </w:r>
    </w:p>
    <w:p>
      <w:hyperlink r:id="rId51">
        <w:r>
          <w:rPr>
            <w:color w:val="285B90"/>
          </w:rPr>
          <w:t>Chinese-Punctuation-Restoration-with-Bert-CNN-RNN</w:t>
        </w:r>
      </w:hyperlink>
      <w:r>
        <w:rPr>
          <w:b w:val="0"/>
        </w:rPr>
        <w:t>. 前期标点恢复实现调研参考。</w:t>
      </w:r>
    </w:p>
    <w:p>
      <w:r>
        <w:rPr>
          <w:b w:val="0"/>
        </w:rPr>
        <w:t>课程提供：</w:t>
      </w:r>
      <w:r>
        <w:rPr>
          <w:rFonts w:ascii="Consolas" w:hAnsi="Consolas"/>
          <w:b w:val="0"/>
          <w:sz w:val="18"/>
        </w:rPr>
        <w:t>1998-上半年-带音.rar</w:t>
      </w:r>
      <w:r>
        <w:rPr>
          <w:b w:val="0"/>
        </w:rPr>
        <w:t>，人民日报半年带音文件，版本以原文件字节指纹标识。</w:t>
      </w:r>
    </w:p>
    <w:p>
      <w:hyperlink r:id="rId52">
        <w:r>
          <w:rPr>
            <w:color w:val="285B90"/>
          </w:rPr>
          <w:t>chinese-poetry《论语》电子文本与版本说明</w:t>
        </w:r>
      </w:hyperlink>
      <w:r>
        <w:rPr>
          <w:b w:val="0"/>
        </w:rPr>
        <w:t>. MIT 许可证，专项参考标点来源。</w:t>
      </w:r>
    </w:p>
    <w:p>
      <w:hyperlink r:id="rId23">
        <w:r>
          <w:rPr>
            <w:color w:val="285B90"/>
          </w:rPr>
          <w:t>中国哲学书电子化计划《论语·学而》</w:t>
        </w:r>
      </w:hyperlink>
      <w:r>
        <w:rPr>
          <w:b w:val="0"/>
        </w:rPr>
        <w:t>. 开篇段落抽查与电子版本标点差异对照。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an1017/LLM-HW/blob/main/hw3/README.md" TargetMode="External"/><Relationship Id="rId11" Type="http://schemas.openxmlformats.org/officeDocument/2006/relationships/hyperlink" Target="https://github.com/Can1017/LLM-HW/blob/main/hw3/%E9%AB%98%E6%95%88%E7%8E%87BERT%E5%8F%A4%E6%96%87%E6%96%AD%E5%8F%A5%E6%A0%87%E7%82%B9%E5%BE%AE%E8%B0%83%E4%B8%8E%E6%89%B9%E9%87%8F%E9%95%BF%E6%96%87%E6%8E%A8%E7%90%86%E5%AE%9E%E9%AA%8C.docx" TargetMode="External"/><Relationship Id="rId12" Type="http://schemas.openxmlformats.org/officeDocument/2006/relationships/hyperlink" Target="https://huggingface.co/google-bert/bert-base-chinese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yperlink" Target="https://github.com/Ethan-yt/CCLUE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hyperlink" Target="https://github.com/chinese-poetry/chinese-poetry/blob/b8594f81a89752241442f2ce267d6f66f96704ee/%E8%AE%BA%E8%AF%AD/lunyu.json" TargetMode="External"/><Relationship Id="rId23" Type="http://schemas.openxmlformats.org/officeDocument/2006/relationships/hyperlink" Target="https://ctext.org/analects/xue-er/zhs" TargetMode="External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hyperlink" Target="https://github.com/Can1017/LLM-HW/releases/tag/hw3-news-bert-v1" TargetMode="External"/><Relationship Id="rId30" Type="http://schemas.openxmlformats.org/officeDocument/2006/relationships/hyperlink" Target="https://github.com/Can1017/LLM-HW/blob/main/hw3/results/source_character_audit.json" TargetMode="External"/><Relationship Id="rId31" Type="http://schemas.openxmlformats.org/officeDocument/2006/relationships/hyperlink" Target="https://github.com/Can1017/LLM-HW/blob/main/hw3/results/news-bert_news_examples.json" TargetMode="External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hyperlink" Target="https://github.com/Can1017/LLM-HW/blob/main/hw3/results/news-bert_cclue_examples.json" TargetMode="External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1.png"/><Relationship Id="rId41" Type="http://schemas.openxmlformats.org/officeDocument/2006/relationships/image" Target="media/image22.png"/><Relationship Id="rId42" Type="http://schemas.openxmlformats.org/officeDocument/2006/relationships/hyperlink" Target="https://github.com/Can1017/LLM-HW/blob/main/hw3/results/data_statistics.json" TargetMode="External"/><Relationship Id="rId43" Type="http://schemas.openxmlformats.org/officeDocument/2006/relationships/hyperlink" Target="https://github.com/Can1017/LLM-HW/blob/main/hw3/results/news-bert_history.json" TargetMode="External"/><Relationship Id="rId44" Type="http://schemas.openxmlformats.org/officeDocument/2006/relationships/hyperlink" Target="https://github.com/Can1017/LLM-HW/blob/main/hw3/results/news-bert_evaluation.json" TargetMode="External"/><Relationship Id="rId45" Type="http://schemas.openxmlformats.org/officeDocument/2006/relationships/hyperlink" Target="https://github.com/Can1017/LLM-HW/blob/main/hw3/results/news-bert_benchmark.json" TargetMode="External"/><Relationship Id="rId46" Type="http://schemas.openxmlformats.org/officeDocument/2006/relationships/hyperlink" Target="https://github.com/Can1017/LLM-HW/blob/main/hw3/results/news-bert_lunyu.json" TargetMode="External"/><Relationship Id="rId47" Type="http://schemas.openxmlformats.org/officeDocument/2006/relationships/hyperlink" Target="https://github.com/Can1017/LLM-HW/tree/main/hw3/figures" TargetMode="External"/><Relationship Id="rId48" Type="http://schemas.openxmlformats.org/officeDocument/2006/relationships/hyperlink" Target="https://github.com/Can1017/LLM-HW/releases/download/hw3-news-bert-v1/hw3-news-bert.zip" TargetMode="External"/><Relationship Id="rId49" Type="http://schemas.openxmlformats.org/officeDocument/2006/relationships/hyperlink" Target="https://aclanthology.org/N19-1423/" TargetMode="External"/><Relationship Id="rId50" Type="http://schemas.openxmlformats.org/officeDocument/2006/relationships/hyperlink" Target="https://huggingface.co/docs/transformers/tasks/token_classification" TargetMode="External"/><Relationship Id="rId51" Type="http://schemas.openxmlformats.org/officeDocument/2006/relationships/hyperlink" Target="https://github.com/yuboona/Chinese-Punctuation-Restoration-with-Bert-CNN-RNN" TargetMode="External"/><Relationship Id="rId52" Type="http://schemas.openxmlformats.org/officeDocument/2006/relationships/hyperlink" Target="https://github.com/chinese-poetry/chinese-poetry/tree/b8594f81a89752241442f2ce267d6f66f96704ee/%E8%AE%BA%E8%AF%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