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35765C5E" w:rsidR="00F4177D" w:rsidRDefault="00F4177D" w:rsidP="00F4177D">
      <w:pPr>
        <w:pStyle w:val="Title"/>
        <w:jc w:val="left"/>
      </w:pPr>
      <w:r w:rsidRPr="00F4177D">
        <w:t xml:space="preserve">Adapt Learning: </w:t>
      </w:r>
      <w:r w:rsidR="00F71AAB">
        <w:t>Themes and principles</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747B9E63"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5464043"/>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71E28397" w:rsidR="00F4177D" w:rsidRPr="000C7DFA" w:rsidRDefault="00F71AAB" w:rsidP="001C4F75">
            <w:r>
              <w:t>Breaks down the vision statement into various themes and explains these. The themes are then broken down into principles for the various disciplines.</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308A2F94" w:rsidR="00F4177D" w:rsidRPr="000C7DFA" w:rsidRDefault="00F4177D" w:rsidP="00F4177D">
            <w:r>
              <w:t>Sven Laux</w:t>
            </w:r>
          </w:p>
        </w:tc>
        <w:tc>
          <w:tcPr>
            <w:tcW w:w="1923" w:type="dxa"/>
            <w:shd w:val="clear" w:color="auto" w:fill="auto"/>
          </w:tcPr>
          <w:p w14:paraId="6EE91DAE" w14:textId="77777777" w:rsidR="00F4177D" w:rsidRPr="000C7DFA" w:rsidRDefault="00F4177D" w:rsidP="00F4177D">
            <w:r w:rsidRPr="000C7DFA">
              <w:t xml:space="preserve">Version: </w:t>
            </w:r>
            <w:r>
              <w:t>0.1</w:t>
            </w:r>
          </w:p>
        </w:tc>
        <w:tc>
          <w:tcPr>
            <w:tcW w:w="2250" w:type="dxa"/>
          </w:tcPr>
          <w:p w14:paraId="00249CCB" w14:textId="3062EB72" w:rsidR="00F4177D" w:rsidRDefault="00F4177D" w:rsidP="001C4F75">
            <w:r w:rsidRPr="000C7DFA">
              <w:t xml:space="preserve">Date: </w:t>
            </w:r>
            <w:r w:rsidR="001C4F75">
              <w:t>11</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77777777" w:rsidR="00F4177D" w:rsidRPr="000C7DFA" w:rsidRDefault="00F4177D" w:rsidP="00F4177D">
            <w:r w:rsidRPr="000C7DFA">
              <w:t>0.1</w:t>
            </w:r>
          </w:p>
        </w:tc>
        <w:tc>
          <w:tcPr>
            <w:tcW w:w="1710" w:type="dxa"/>
            <w:shd w:val="clear" w:color="auto" w:fill="auto"/>
          </w:tcPr>
          <w:p w14:paraId="0CD3C364" w14:textId="2115049E" w:rsidR="00F4177D" w:rsidRDefault="001C4F75" w:rsidP="00F4177D">
            <w:r>
              <w:t>11</w:t>
            </w:r>
            <w:r w:rsidR="00F4177D" w:rsidRPr="000C7DFA">
              <w:t xml:space="preserve"> / </w:t>
            </w:r>
            <w:r w:rsidR="00F71AAB">
              <w:t>11</w:t>
            </w:r>
            <w:r w:rsidR="00F4177D" w:rsidRPr="000C7DFA">
              <w:t xml:space="preserve"> / 201</w:t>
            </w:r>
            <w:r w:rsidR="00F4177D">
              <w:t>3</w:t>
            </w:r>
          </w:p>
        </w:tc>
        <w:tc>
          <w:tcPr>
            <w:tcW w:w="4273" w:type="dxa"/>
            <w:shd w:val="clear" w:color="auto" w:fill="auto"/>
          </w:tcPr>
          <w:p w14:paraId="32FB8E39" w14:textId="76151890" w:rsidR="00F4177D" w:rsidRPr="000C7DFA" w:rsidRDefault="00F4177D" w:rsidP="001C4F75">
            <w:r w:rsidRPr="000C7DFA">
              <w:t xml:space="preserve">Initial </w:t>
            </w:r>
            <w:r>
              <w:t>draft for review.</w:t>
            </w:r>
          </w:p>
        </w:tc>
      </w:tr>
      <w:tr w:rsidR="00F4177D" w:rsidRPr="000C7DFA" w14:paraId="1F75358A" w14:textId="77777777" w:rsidTr="00D212B5">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tcBorders>
              <w:bottom w:val="single" w:sz="4" w:space="0" w:color="auto"/>
            </w:tcBorders>
            <w:shd w:val="clear" w:color="auto" w:fill="auto"/>
          </w:tcPr>
          <w:p w14:paraId="524C108A" w14:textId="77777777" w:rsidR="00F4177D" w:rsidRDefault="00F4177D" w:rsidP="00F4177D"/>
        </w:tc>
        <w:tc>
          <w:tcPr>
            <w:tcW w:w="1710" w:type="dxa"/>
            <w:tcBorders>
              <w:bottom w:val="single" w:sz="4" w:space="0" w:color="auto"/>
            </w:tcBorders>
            <w:shd w:val="clear" w:color="auto" w:fill="auto"/>
          </w:tcPr>
          <w:p w14:paraId="4B2359EB" w14:textId="77777777" w:rsidR="00F4177D" w:rsidRDefault="00F4177D" w:rsidP="00F4177D"/>
        </w:tc>
        <w:tc>
          <w:tcPr>
            <w:tcW w:w="4273" w:type="dxa"/>
            <w:tcBorders>
              <w:bottom w:val="single" w:sz="4" w:space="0" w:color="auto"/>
            </w:tcBorders>
            <w:shd w:val="clear" w:color="auto" w:fill="auto"/>
          </w:tcPr>
          <w:p w14:paraId="263D79C5" w14:textId="77777777"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4E2D74EB" w14:textId="61ED326F" w:rsidR="00B6556C" w:rsidRDefault="002805D8" w:rsidP="001748DF">
      <w:pPr>
        <w:pStyle w:val="Heading1"/>
        <w:rPr>
          <w:lang w:val="en-GB"/>
        </w:rPr>
      </w:pPr>
      <w:bookmarkStart w:id="12" w:name="_Toc245464044"/>
      <w:r>
        <w:rPr>
          <w:lang w:val="en-GB"/>
        </w:rPr>
        <w:lastRenderedPageBreak/>
        <w:t>Purpose of document</w:t>
      </w:r>
      <w:bookmarkEnd w:id="12"/>
    </w:p>
    <w:p w14:paraId="5B8D9883" w14:textId="6C931C26" w:rsidR="00110AA4" w:rsidRDefault="00D212B5" w:rsidP="00D212B5">
      <w:r>
        <w:t xml:space="preserve">The </w:t>
      </w:r>
      <w:r w:rsidR="00996E32">
        <w:t xml:space="preserve">purpose of this document is </w:t>
      </w:r>
      <w:r w:rsidR="00110AA4">
        <w:t xml:space="preserve">to help those involved in the project understand how they can work towards the vision in the disciplines relevant to their work. It is intended for briefing newcomers as well as serving as a checklist for decision-making or reviewing work. </w:t>
      </w:r>
    </w:p>
    <w:p w14:paraId="26C0C42D" w14:textId="7B13F065" w:rsidR="00110AA4" w:rsidRDefault="00110AA4" w:rsidP="00D212B5">
      <w:r>
        <w:t>The document breaks</w:t>
      </w:r>
      <w:r w:rsidRPr="00110AA4">
        <w:t xml:space="preserve"> down the vision statement into various themes and exp</w:t>
      </w:r>
      <w:r>
        <w:t>lains these in further detail. In the following sections, t</w:t>
      </w:r>
      <w:r w:rsidRPr="00110AA4">
        <w:t xml:space="preserve">he themes are then broken down into </w:t>
      </w:r>
      <w:r>
        <w:t xml:space="preserve">specific </w:t>
      </w:r>
      <w:r w:rsidRPr="00110AA4">
        <w:t>principles</w:t>
      </w:r>
      <w:r>
        <w:t>.</w:t>
      </w:r>
    </w:p>
    <w:p w14:paraId="758F63D4" w14:textId="2124FBD4" w:rsidR="00481017" w:rsidRDefault="00BE19AE" w:rsidP="00481017">
      <w:pPr>
        <w:pStyle w:val="Heading1"/>
      </w:pPr>
      <w:r>
        <w:t>Vision statement</w:t>
      </w:r>
      <w:r w:rsidR="00A57657">
        <w:t xml:space="preserve"> breakdown</w:t>
      </w:r>
    </w:p>
    <w:p w14:paraId="697359DD" w14:textId="0678C7AF" w:rsidR="000D22C0" w:rsidRDefault="000D22C0" w:rsidP="000D22C0">
      <w:r>
        <w:t xml:space="preserve">Below is the vision statement as agreed as part of the setup of the Adapt Learning open source project. </w:t>
      </w:r>
      <w:r w:rsidR="00A57657">
        <w:t xml:space="preserve">We acknowledge this may not be perfect or as clear as it can be. However, it captures a lot of the intention and ambition and a good amount of time has been spent trying to phrase it. This section aims at summarizing and explaining the various themes and thought processes that are </w:t>
      </w:r>
      <w:r w:rsidR="007C66B1">
        <w:t>contained</w:t>
      </w:r>
      <w:r w:rsidR="00A57657">
        <w:t xml:space="preserve"> </w:t>
      </w:r>
      <w:r w:rsidR="007C66B1">
        <w:t>with</w:t>
      </w:r>
      <w:r w:rsidR="00A57657">
        <w:t>in the statement.</w:t>
      </w:r>
    </w:p>
    <w:p w14:paraId="094B6BC6" w14:textId="19C995FC" w:rsidR="000D22C0" w:rsidRDefault="00C87746" w:rsidP="00C87746">
      <w:pPr>
        <w:pStyle w:val="Heading2"/>
      </w:pPr>
      <w:r>
        <w:t>Vision statement</w:t>
      </w:r>
    </w:p>
    <w:p w14:paraId="658BA369" w14:textId="3F9043C8" w:rsidR="00C87746" w:rsidRPr="00C87746" w:rsidRDefault="0020370A" w:rsidP="00C87746">
      <w:r>
        <w:t xml:space="preserve">In the table below, </w:t>
      </w:r>
      <w:r w:rsidR="00C87746">
        <w:t xml:space="preserve">the vision statement </w:t>
      </w:r>
      <w:r w:rsidR="004661F0">
        <w:t xml:space="preserve">is broken down </w:t>
      </w:r>
      <w:r w:rsidR="00C87746">
        <w:t xml:space="preserve">into </w:t>
      </w:r>
      <w:r w:rsidR="004661F0">
        <w:t xml:space="preserve">identifiable </w:t>
      </w:r>
      <w:r w:rsidR="00C87746">
        <w:t>chunks</w:t>
      </w:r>
      <w:r w:rsidR="00025983">
        <w:t>:</w:t>
      </w:r>
    </w:p>
    <w:tbl>
      <w:tblPr>
        <w:tblStyle w:val="TableGrid"/>
        <w:tblW w:w="0" w:type="auto"/>
        <w:tblLook w:val="04A0" w:firstRow="1" w:lastRow="0" w:firstColumn="1" w:lastColumn="0" w:noHBand="0" w:noVBand="1"/>
      </w:tblPr>
      <w:tblGrid>
        <w:gridCol w:w="817"/>
        <w:gridCol w:w="9139"/>
      </w:tblGrid>
      <w:tr w:rsidR="00ED51A9" w:rsidRPr="00F53D1E" w14:paraId="48E011F3" w14:textId="77777777" w:rsidTr="00ED51A9">
        <w:tc>
          <w:tcPr>
            <w:tcW w:w="817" w:type="dxa"/>
          </w:tcPr>
          <w:p w14:paraId="44FE0DDF" w14:textId="1716E45E" w:rsidR="00ED51A9" w:rsidRPr="00F53D1E" w:rsidRDefault="00ED51A9" w:rsidP="00ED51A9">
            <w:pPr>
              <w:rPr>
                <w:b/>
              </w:rPr>
            </w:pPr>
            <w:r w:rsidRPr="00F53D1E">
              <w:rPr>
                <w:b/>
              </w:rPr>
              <w:t>ID</w:t>
            </w:r>
          </w:p>
        </w:tc>
        <w:tc>
          <w:tcPr>
            <w:tcW w:w="9139" w:type="dxa"/>
          </w:tcPr>
          <w:p w14:paraId="61670963" w14:textId="6443A471" w:rsidR="00ED51A9" w:rsidRPr="00F53D1E" w:rsidRDefault="00ED51A9" w:rsidP="00ED51A9">
            <w:pPr>
              <w:rPr>
                <w:b/>
              </w:rPr>
            </w:pPr>
            <w:r w:rsidRPr="00F53D1E">
              <w:rPr>
                <w:b/>
              </w:rPr>
              <w:t>Statement</w:t>
            </w:r>
          </w:p>
        </w:tc>
      </w:tr>
      <w:tr w:rsidR="00ED51A9" w14:paraId="2A8DD280" w14:textId="77777777" w:rsidTr="00ED51A9">
        <w:tc>
          <w:tcPr>
            <w:tcW w:w="817" w:type="dxa"/>
          </w:tcPr>
          <w:p w14:paraId="571D8233" w14:textId="12086908" w:rsidR="00ED51A9" w:rsidRDefault="00ED51A9" w:rsidP="00ED51A9">
            <w:r>
              <w:t>VIS1</w:t>
            </w:r>
          </w:p>
        </w:tc>
        <w:tc>
          <w:tcPr>
            <w:tcW w:w="9139" w:type="dxa"/>
          </w:tcPr>
          <w:p w14:paraId="2218C016" w14:textId="56995867" w:rsidR="00ED51A9" w:rsidRDefault="00ED51A9" w:rsidP="00ED51A9">
            <w:r w:rsidRPr="00481017">
              <w:rPr>
                <w:lang w:val="en-GB"/>
              </w:rPr>
              <w:t>To create, as a community, the leading e-learning authoring tool for producing responsive content (i.e. single version output) that works across multiple types of devices.</w:t>
            </w:r>
          </w:p>
        </w:tc>
      </w:tr>
      <w:tr w:rsidR="00ED51A9" w14:paraId="1E274C73" w14:textId="77777777" w:rsidTr="00ED51A9">
        <w:tc>
          <w:tcPr>
            <w:tcW w:w="817" w:type="dxa"/>
          </w:tcPr>
          <w:p w14:paraId="1DD14F6B" w14:textId="67B2138C" w:rsidR="00ED51A9" w:rsidRDefault="00ED51A9" w:rsidP="00ED51A9">
            <w:r>
              <w:t>VIS2</w:t>
            </w:r>
          </w:p>
        </w:tc>
        <w:tc>
          <w:tcPr>
            <w:tcW w:w="9139" w:type="dxa"/>
          </w:tcPr>
          <w:p w14:paraId="01E08A53" w14:textId="3B929045" w:rsidR="00ED51A9" w:rsidRDefault="00ED51A9" w:rsidP="00ED51A9">
            <w:r w:rsidRPr="00481017">
              <w:rPr>
                <w:lang w:val="en-GB"/>
              </w:rPr>
              <w:t>To develop a freely available authoring tool for organisations that wish to develop their own responsive e-learning content, specifically those in education but also commercial companies and public organisations.</w:t>
            </w:r>
          </w:p>
        </w:tc>
      </w:tr>
      <w:tr w:rsidR="00ED51A9" w14:paraId="3A9D5A7E" w14:textId="77777777" w:rsidTr="00ED51A9">
        <w:tc>
          <w:tcPr>
            <w:tcW w:w="817" w:type="dxa"/>
          </w:tcPr>
          <w:p w14:paraId="64AC9764" w14:textId="35A4D22E" w:rsidR="00ED51A9" w:rsidRDefault="00ED51A9" w:rsidP="00ED51A9">
            <w:r>
              <w:t>VIS3</w:t>
            </w:r>
          </w:p>
        </w:tc>
        <w:tc>
          <w:tcPr>
            <w:tcW w:w="9139" w:type="dxa"/>
          </w:tcPr>
          <w:p w14:paraId="4C38D056" w14:textId="191089E7" w:rsidR="00ED51A9" w:rsidRPr="00ED51A9" w:rsidRDefault="00ED51A9" w:rsidP="00ED51A9">
            <w:pPr>
              <w:rPr>
                <w:b/>
              </w:rPr>
            </w:pPr>
            <w:r w:rsidRPr="00481017">
              <w:rPr>
                <w:lang w:val="en-GB"/>
              </w:rPr>
              <w:t>To encourage a large, global community of end users and developers and drive for widest possible adoption by releasing the code under the GPL open source license and ensuring a low barrier of adoption for all types of users.</w:t>
            </w:r>
          </w:p>
        </w:tc>
      </w:tr>
      <w:tr w:rsidR="00ED51A9" w14:paraId="3223394F" w14:textId="77777777" w:rsidTr="00ED51A9">
        <w:tc>
          <w:tcPr>
            <w:tcW w:w="817" w:type="dxa"/>
          </w:tcPr>
          <w:p w14:paraId="41A57927" w14:textId="0F1FECE8" w:rsidR="00ED51A9" w:rsidRDefault="00ED51A9" w:rsidP="00ED51A9">
            <w:r>
              <w:t>VIS4</w:t>
            </w:r>
          </w:p>
        </w:tc>
        <w:tc>
          <w:tcPr>
            <w:tcW w:w="9139" w:type="dxa"/>
          </w:tcPr>
          <w:p w14:paraId="04259DCB" w14:textId="7DE534CE" w:rsidR="00ED51A9" w:rsidRPr="00ED51A9" w:rsidRDefault="00ED51A9" w:rsidP="00ED51A9">
            <w:r w:rsidRPr="00481017">
              <w:rPr>
                <w:lang w:val="en-GB"/>
              </w:rPr>
              <w:t>To ensure that the tool is intuitive and easy to use for those with limited technical knowledge.</w:t>
            </w:r>
          </w:p>
        </w:tc>
      </w:tr>
      <w:tr w:rsidR="00ED51A9" w14:paraId="0B3BFAF3" w14:textId="77777777" w:rsidTr="00ED51A9">
        <w:tc>
          <w:tcPr>
            <w:tcW w:w="817" w:type="dxa"/>
          </w:tcPr>
          <w:p w14:paraId="0C5A46E5" w14:textId="56D02A9D" w:rsidR="00ED51A9" w:rsidRDefault="00ED51A9" w:rsidP="00ED51A9">
            <w:r>
              <w:t>VIS5</w:t>
            </w:r>
          </w:p>
        </w:tc>
        <w:tc>
          <w:tcPr>
            <w:tcW w:w="9139" w:type="dxa"/>
          </w:tcPr>
          <w:p w14:paraId="7E5E85B2" w14:textId="52A29927" w:rsidR="00ED51A9" w:rsidRPr="00ED51A9" w:rsidRDefault="00ED51A9" w:rsidP="00ED51A9">
            <w:pPr>
              <w:rPr>
                <w:b/>
              </w:rPr>
            </w:pPr>
            <w:r w:rsidRPr="00481017">
              <w:rPr>
                <w:lang w:val="en-GB"/>
              </w:rPr>
              <w:t>To ensure the authoring tool produces content, which can be deployed to a typical environment that end users may have (e.g. Moodle, SCORM-based LMSs etc.)</w:t>
            </w:r>
          </w:p>
        </w:tc>
      </w:tr>
      <w:tr w:rsidR="00ED51A9" w14:paraId="113E7506" w14:textId="77777777" w:rsidTr="00ED51A9">
        <w:tc>
          <w:tcPr>
            <w:tcW w:w="817" w:type="dxa"/>
          </w:tcPr>
          <w:p w14:paraId="5F3595A6" w14:textId="241C2359" w:rsidR="00ED51A9" w:rsidRDefault="00ED51A9" w:rsidP="00ED51A9">
            <w:r>
              <w:t>VIS6</w:t>
            </w:r>
          </w:p>
        </w:tc>
        <w:tc>
          <w:tcPr>
            <w:tcW w:w="9139" w:type="dxa"/>
          </w:tcPr>
          <w:p w14:paraId="25BAFB11" w14:textId="79920332" w:rsidR="00ED51A9" w:rsidRPr="00D94E71" w:rsidRDefault="00D94E71" w:rsidP="00ED51A9">
            <w:r w:rsidRPr="00481017">
              <w:rPr>
                <w:lang w:val="en-GB"/>
              </w:rPr>
              <w:t>To support the principles of collaborative development and transition to a community led governance structure.</w:t>
            </w:r>
          </w:p>
        </w:tc>
      </w:tr>
    </w:tbl>
    <w:p w14:paraId="2058952A" w14:textId="008B6587" w:rsidR="00357A8F" w:rsidRDefault="00E0219D" w:rsidP="00E0219D">
      <w:pPr>
        <w:pStyle w:val="Heading2"/>
      </w:pPr>
      <w:r>
        <w:t>Extrapolation of themes</w:t>
      </w:r>
    </w:p>
    <w:p w14:paraId="75DEEBF4" w14:textId="10A34084" w:rsidR="00BD7E92" w:rsidRPr="00BD7E92" w:rsidRDefault="00BD7E92" w:rsidP="00BD7E92">
      <w:r>
        <w:t>The table below highlights the themes and thoughts, which deserve better explanation.</w:t>
      </w:r>
    </w:p>
    <w:tbl>
      <w:tblPr>
        <w:tblStyle w:val="TableGrid"/>
        <w:tblW w:w="0" w:type="auto"/>
        <w:tblLook w:val="04A0" w:firstRow="1" w:lastRow="0" w:firstColumn="1" w:lastColumn="0" w:noHBand="0" w:noVBand="1"/>
      </w:tblPr>
      <w:tblGrid>
        <w:gridCol w:w="919"/>
        <w:gridCol w:w="2928"/>
        <w:gridCol w:w="6109"/>
      </w:tblGrid>
      <w:tr w:rsidR="00E0219D" w:rsidRPr="008863B7" w14:paraId="2AF9A372" w14:textId="77777777" w:rsidTr="00E0219D">
        <w:tc>
          <w:tcPr>
            <w:tcW w:w="817" w:type="dxa"/>
          </w:tcPr>
          <w:p w14:paraId="04631FCD" w14:textId="2C73A41F" w:rsidR="00E0219D" w:rsidRPr="008863B7" w:rsidRDefault="000556FF" w:rsidP="00F32BBC">
            <w:pPr>
              <w:rPr>
                <w:b/>
              </w:rPr>
            </w:pPr>
            <w:r>
              <w:rPr>
                <w:b/>
              </w:rPr>
              <w:t xml:space="preserve">Related </w:t>
            </w:r>
            <w:r w:rsidR="00E0219D">
              <w:rPr>
                <w:b/>
              </w:rPr>
              <w:t>VIS ID</w:t>
            </w:r>
          </w:p>
        </w:tc>
        <w:tc>
          <w:tcPr>
            <w:tcW w:w="2953" w:type="dxa"/>
          </w:tcPr>
          <w:p w14:paraId="382A4302" w14:textId="14A7CCA9" w:rsidR="00E0219D" w:rsidRPr="008863B7" w:rsidRDefault="00E0219D" w:rsidP="00F32BBC">
            <w:pPr>
              <w:rPr>
                <w:b/>
              </w:rPr>
            </w:pPr>
            <w:r w:rsidRPr="008863B7">
              <w:rPr>
                <w:b/>
              </w:rPr>
              <w:t>Theme</w:t>
            </w:r>
          </w:p>
        </w:tc>
        <w:tc>
          <w:tcPr>
            <w:tcW w:w="6186" w:type="dxa"/>
          </w:tcPr>
          <w:p w14:paraId="48597566" w14:textId="6416A922" w:rsidR="00E0219D" w:rsidRPr="008863B7" w:rsidRDefault="00E0219D" w:rsidP="00F32BBC">
            <w:pPr>
              <w:rPr>
                <w:b/>
              </w:rPr>
            </w:pPr>
            <w:r w:rsidRPr="008863B7">
              <w:rPr>
                <w:b/>
              </w:rPr>
              <w:t>Description</w:t>
            </w:r>
          </w:p>
        </w:tc>
      </w:tr>
      <w:tr w:rsidR="00E0219D" w14:paraId="730D75DA" w14:textId="77777777" w:rsidTr="00E0219D">
        <w:tc>
          <w:tcPr>
            <w:tcW w:w="817" w:type="dxa"/>
          </w:tcPr>
          <w:p w14:paraId="2E839B73" w14:textId="35CE77D9" w:rsidR="00E0219D" w:rsidRDefault="00A8456A" w:rsidP="00FF1589">
            <w:r>
              <w:t>VIS1,</w:t>
            </w:r>
            <w:r>
              <w:br/>
              <w:t>VIS6</w:t>
            </w:r>
          </w:p>
        </w:tc>
        <w:tc>
          <w:tcPr>
            <w:tcW w:w="2953" w:type="dxa"/>
          </w:tcPr>
          <w:p w14:paraId="46001AA4" w14:textId="69C7BBFC" w:rsidR="00E0219D" w:rsidRDefault="00E0219D" w:rsidP="00FF1589">
            <w:r>
              <w:t>Development as a community, collaborative development and community-led governance structure</w:t>
            </w:r>
          </w:p>
        </w:tc>
        <w:tc>
          <w:tcPr>
            <w:tcW w:w="6186" w:type="dxa"/>
          </w:tcPr>
          <w:p w14:paraId="1A8C0C0E" w14:textId="77777777" w:rsidR="00BE3AB1" w:rsidRDefault="00BE3AB1" w:rsidP="00BE3AB1">
            <w:r>
              <w:t>The key elements we wanted to capture here are:</w:t>
            </w:r>
          </w:p>
          <w:p w14:paraId="52E0EAE1" w14:textId="436DCE66" w:rsidR="00BE3AB1" w:rsidRDefault="00BE3AB1" w:rsidP="00BE3AB1">
            <w:r>
              <w:t xml:space="preserve">That this project is not the effort of one particular organization or partnership but rather something that’s meant to of benefit for the whole learning and development industry. </w:t>
            </w:r>
          </w:p>
          <w:p w14:paraId="285132F2" w14:textId="5E486BC6" w:rsidR="00E0219D" w:rsidRDefault="00BE3AB1" w:rsidP="00BE3AB1">
            <w:r>
              <w:t>That everyone can get involved and their contribution will be recognized. Significant contributions will be rewarded with influence as long as the collaborator is aligned to the vision statement and principles. The principles of a meritocracy apply.</w:t>
            </w:r>
          </w:p>
          <w:p w14:paraId="0D0AD156" w14:textId="7404B7C4" w:rsidR="00BE3AB1" w:rsidRDefault="00BE3AB1" w:rsidP="00BE3AB1">
            <w:r>
              <w:t xml:space="preserve">We work collaboratively. The particular aspect to highlight is that we would like this project to be a place where neither hierarchies nor competition </w:t>
            </w:r>
            <w:r w:rsidR="002918DD">
              <w:t xml:space="preserve">or individual business goals </w:t>
            </w:r>
            <w:r>
              <w:t xml:space="preserve">play a </w:t>
            </w:r>
            <w:r w:rsidR="002918DD">
              <w:t xml:space="preserve">major </w:t>
            </w:r>
            <w:r>
              <w:t xml:space="preserve">role. </w:t>
            </w:r>
            <w:r w:rsidR="002918DD">
              <w:t>Our particular aim to let everyone achieve their individual goals and to orchestrate these efforts towards the common vision.</w:t>
            </w:r>
          </w:p>
        </w:tc>
      </w:tr>
      <w:tr w:rsidR="00E0219D" w14:paraId="72DD788D" w14:textId="77777777" w:rsidTr="00E0219D">
        <w:tc>
          <w:tcPr>
            <w:tcW w:w="817" w:type="dxa"/>
          </w:tcPr>
          <w:p w14:paraId="3BE901A1" w14:textId="4E1C261C" w:rsidR="00E0219D" w:rsidRDefault="00A8456A" w:rsidP="00F32BBC">
            <w:r>
              <w:t>VIS1</w:t>
            </w:r>
          </w:p>
        </w:tc>
        <w:tc>
          <w:tcPr>
            <w:tcW w:w="2953" w:type="dxa"/>
          </w:tcPr>
          <w:p w14:paraId="666F3370" w14:textId="09EF49A5" w:rsidR="00E0219D" w:rsidRDefault="00E0219D" w:rsidP="00F32BBC">
            <w:r>
              <w:t>Learning and e-Learning in particular</w:t>
            </w:r>
          </w:p>
        </w:tc>
        <w:tc>
          <w:tcPr>
            <w:tcW w:w="6186" w:type="dxa"/>
          </w:tcPr>
          <w:p w14:paraId="20E61FF1" w14:textId="77777777" w:rsidR="00037DAD" w:rsidRDefault="00223927" w:rsidP="00037DAD">
            <w:r>
              <w:t xml:space="preserve">We stay focused on learning and e-learning in particular. This means making the best decisions in terms of creating a tool and framework, which consider the goal of their primary audience to be the production of learning materials. </w:t>
            </w:r>
          </w:p>
          <w:p w14:paraId="53154AA5" w14:textId="5B3D626F" w:rsidR="00E0219D" w:rsidRDefault="00097C78" w:rsidP="00097C78">
            <w:r>
              <w:t xml:space="preserve">We endeavor to strike the right balance between flexibility / configurability and ease of use. </w:t>
            </w:r>
            <w:r w:rsidR="00223927">
              <w:t xml:space="preserve">We will avoid </w:t>
            </w:r>
            <w:r w:rsidR="00037DAD">
              <w:t>trying to please everybody (in particular those who are using Adapt for anything other than producing learning materials) and watering down the vision in doing so.</w:t>
            </w:r>
          </w:p>
        </w:tc>
      </w:tr>
      <w:tr w:rsidR="00E0219D" w14:paraId="06673FE2" w14:textId="77777777" w:rsidTr="00E0219D">
        <w:tc>
          <w:tcPr>
            <w:tcW w:w="817" w:type="dxa"/>
          </w:tcPr>
          <w:p w14:paraId="415ED9B1" w14:textId="6E9268CC" w:rsidR="00E0219D" w:rsidRDefault="00A8456A" w:rsidP="00FF1589">
            <w:r>
              <w:t>VIS1,</w:t>
            </w:r>
            <w:r>
              <w:br/>
              <w:t>VIS3</w:t>
            </w:r>
          </w:p>
        </w:tc>
        <w:tc>
          <w:tcPr>
            <w:tcW w:w="2953" w:type="dxa"/>
          </w:tcPr>
          <w:p w14:paraId="3566A68B" w14:textId="74F04A49" w:rsidR="00E0219D" w:rsidRDefault="00E0219D" w:rsidP="00FF1589">
            <w:r>
              <w:t>Market leading Authoring tool</w:t>
            </w:r>
          </w:p>
        </w:tc>
        <w:tc>
          <w:tcPr>
            <w:tcW w:w="6186" w:type="dxa"/>
          </w:tcPr>
          <w:p w14:paraId="21B5C239" w14:textId="7A0922CE" w:rsidR="003A35B9" w:rsidRDefault="00F06B3B" w:rsidP="00F32BBC">
            <w:r>
              <w:t xml:space="preserve">We are ambitious and strive for the best possible result. Mediocrity is not an option. We want to produce the best (i.e. market leading tool), no matter whether we are compared to proprietary or other open source tools. We accept that this means </w:t>
            </w:r>
            <w:r w:rsidR="00500CE4">
              <w:t>working intelligently and hard on an ongoing basis.</w:t>
            </w:r>
          </w:p>
          <w:p w14:paraId="2CDB26E6" w14:textId="1D9580BC" w:rsidR="00163514" w:rsidRDefault="00500CE4" w:rsidP="00F32BBC">
            <w:r>
              <w:t>To narrow down the statement a little, we are aiming to produce the best server based tool, which produces responsive design e-learning content.</w:t>
            </w:r>
          </w:p>
          <w:p w14:paraId="06610569" w14:textId="2BE57A67" w:rsidR="0089503A" w:rsidRDefault="00163514" w:rsidP="00F32BBC">
            <w:r>
              <w:t>We believe we have a very good chance to achieve this seeing as</w:t>
            </w:r>
            <w:r w:rsidR="0089503A">
              <w:t>:</w:t>
            </w:r>
            <w:r>
              <w:t xml:space="preserve"> </w:t>
            </w:r>
          </w:p>
          <w:p w14:paraId="7272584A" w14:textId="1217F376" w:rsidR="0089503A" w:rsidRDefault="0089503A" w:rsidP="0089503A">
            <w:pPr>
              <w:pStyle w:val="ListParagraph"/>
              <w:numPr>
                <w:ilvl w:val="0"/>
                <w:numId w:val="5"/>
              </w:numPr>
            </w:pPr>
            <w:r>
              <w:t>The marketplace does not have (m)any mature solutions in this space at the time of writing the document</w:t>
            </w:r>
          </w:p>
          <w:p w14:paraId="3BE3B927" w14:textId="2A42EB5B" w:rsidR="0089503A" w:rsidRDefault="0089503A" w:rsidP="0089503A">
            <w:pPr>
              <w:pStyle w:val="ListParagraph"/>
              <w:numPr>
                <w:ilvl w:val="0"/>
                <w:numId w:val="5"/>
              </w:numPr>
            </w:pPr>
            <w:r>
              <w:t>The marketplace is ready for open source models and software business models have been changing significantly</w:t>
            </w:r>
          </w:p>
          <w:p w14:paraId="6E7008C3" w14:textId="495A651A" w:rsidR="00163514" w:rsidRDefault="0089503A" w:rsidP="0089503A">
            <w:pPr>
              <w:pStyle w:val="ListParagraph"/>
              <w:numPr>
                <w:ilvl w:val="0"/>
                <w:numId w:val="5"/>
              </w:numPr>
            </w:pPr>
            <w:r>
              <w:t>W</w:t>
            </w:r>
            <w:r w:rsidR="00163514">
              <w:t>e can scale up the contributor capacity (developers in particular) much beyond the capabilities of a proprietary model.</w:t>
            </w:r>
          </w:p>
          <w:p w14:paraId="3D12AE94" w14:textId="6C7E7D84" w:rsidR="00163514" w:rsidRDefault="00710B9D" w:rsidP="00F32BBC">
            <w:r>
              <w:t>However, in order to achieve this, we must also consider the following:</w:t>
            </w:r>
          </w:p>
          <w:p w14:paraId="4078FE40" w14:textId="4B283953" w:rsidR="00BC2D27" w:rsidRDefault="00BC2D27" w:rsidP="00BC2D27">
            <w:pPr>
              <w:pStyle w:val="ListParagraph"/>
              <w:numPr>
                <w:ilvl w:val="0"/>
                <w:numId w:val="6"/>
              </w:numPr>
            </w:pPr>
            <w:r>
              <w:t>We have to achieve mass adoption</w:t>
            </w:r>
            <w:r w:rsidR="00114871">
              <w:t xml:space="preserve"> (openness, thorough, high quality, marketing, etc)</w:t>
            </w:r>
            <w:bookmarkStart w:id="13" w:name="_GoBack"/>
            <w:bookmarkEnd w:id="13"/>
          </w:p>
          <w:p w14:paraId="7BF023A4" w14:textId="77777777" w:rsidR="00BC2D27" w:rsidRDefault="00BC2D27" w:rsidP="00BC2D27">
            <w:pPr>
              <w:pStyle w:val="ListParagraph"/>
              <w:numPr>
                <w:ilvl w:val="0"/>
                <w:numId w:val="6"/>
              </w:numPr>
            </w:pPr>
            <w:r>
              <w:t>We have to be led by our end users</w:t>
            </w:r>
          </w:p>
          <w:p w14:paraId="4BA21F79" w14:textId="00F68E9F" w:rsidR="00710B9D" w:rsidRDefault="000676E1" w:rsidP="00F3239D">
            <w:pPr>
              <w:pStyle w:val="ListParagraph"/>
              <w:numPr>
                <w:ilvl w:val="0"/>
                <w:numId w:val="6"/>
              </w:numPr>
            </w:pPr>
            <w:r>
              <w:t>We have to satisfy the needs of commercial e-learning producers</w:t>
            </w:r>
          </w:p>
          <w:p w14:paraId="0DCA1200" w14:textId="21803008" w:rsidR="000676E1" w:rsidRDefault="000676E1" w:rsidP="00F3239D">
            <w:pPr>
              <w:pStyle w:val="ListParagraph"/>
              <w:numPr>
                <w:ilvl w:val="0"/>
                <w:numId w:val="6"/>
              </w:numPr>
            </w:pPr>
            <w:r>
              <w:t>We have to enable</w:t>
            </w:r>
            <w:r w:rsidR="00BC2D27">
              <w:t xml:space="preserve"> service based business models </w:t>
            </w:r>
          </w:p>
          <w:p w14:paraId="4DBF6298" w14:textId="7CBEB6DC" w:rsidR="00BC2D27" w:rsidRDefault="00BC2D27" w:rsidP="00F3239D">
            <w:pPr>
              <w:pStyle w:val="ListParagraph"/>
              <w:numPr>
                <w:ilvl w:val="0"/>
                <w:numId w:val="6"/>
              </w:numPr>
            </w:pPr>
            <w:r>
              <w:t>We have to enable scalability of design and development activity on the project</w:t>
            </w:r>
          </w:p>
          <w:p w14:paraId="3B7A1F6A" w14:textId="77777777" w:rsidR="00BC2D27" w:rsidRDefault="00BC2D27" w:rsidP="00F32BBC"/>
          <w:p w14:paraId="2BB33ED8" w14:textId="77777777" w:rsidR="003A35B9" w:rsidRDefault="00222F1D" w:rsidP="00F32BBC">
            <w:r>
              <w:t xml:space="preserve">Commercial, </w:t>
            </w:r>
          </w:p>
          <w:p w14:paraId="167D3834" w14:textId="77777777" w:rsidR="003A35B9" w:rsidRDefault="00222F1D" w:rsidP="00F32BBC">
            <w:r>
              <w:t xml:space="preserve">server based, </w:t>
            </w:r>
          </w:p>
          <w:p w14:paraId="5FC9DBBB" w14:textId="77777777" w:rsidR="003A35B9" w:rsidRDefault="00222F1D" w:rsidP="00F32BBC">
            <w:r>
              <w:t xml:space="preserve">service provision, </w:t>
            </w:r>
          </w:p>
          <w:p w14:paraId="3E0FFCEF" w14:textId="5DFF8626" w:rsidR="00E0219D" w:rsidRDefault="00222F1D" w:rsidP="00F32BBC">
            <w:r>
              <w:t>mature open source</w:t>
            </w:r>
          </w:p>
        </w:tc>
      </w:tr>
      <w:tr w:rsidR="00E0219D" w14:paraId="34AEA5DD" w14:textId="77777777" w:rsidTr="00E0219D">
        <w:tc>
          <w:tcPr>
            <w:tcW w:w="817" w:type="dxa"/>
          </w:tcPr>
          <w:p w14:paraId="0F760CF6" w14:textId="42364A32" w:rsidR="00E0219D" w:rsidRDefault="00A8456A" w:rsidP="00FF1589">
            <w:r>
              <w:t>VIS1</w:t>
            </w:r>
          </w:p>
        </w:tc>
        <w:tc>
          <w:tcPr>
            <w:tcW w:w="2953" w:type="dxa"/>
          </w:tcPr>
          <w:p w14:paraId="420A7986" w14:textId="6ED228D9" w:rsidR="00E0219D" w:rsidRDefault="00E0219D" w:rsidP="00FF1589">
            <w:r>
              <w:t>Responsive content</w:t>
            </w:r>
          </w:p>
        </w:tc>
        <w:tc>
          <w:tcPr>
            <w:tcW w:w="6186" w:type="dxa"/>
          </w:tcPr>
          <w:p w14:paraId="26E4DAE7" w14:textId="0DC4E717" w:rsidR="00E0219D" w:rsidRDefault="00B76B2F" w:rsidP="00F32BBC">
            <w:r>
              <w:t>R</w:t>
            </w:r>
            <w:r w:rsidR="00594DA5">
              <w:t>a</w:t>
            </w:r>
            <w:r>
              <w:t>t</w:t>
            </w:r>
            <w:r w:rsidR="00594DA5">
              <w:t>h</w:t>
            </w:r>
            <w:r>
              <w:t>er than native app</w:t>
            </w:r>
          </w:p>
        </w:tc>
      </w:tr>
      <w:tr w:rsidR="00E0219D" w14:paraId="299BD1D9" w14:textId="77777777" w:rsidTr="00E0219D">
        <w:tc>
          <w:tcPr>
            <w:tcW w:w="817" w:type="dxa"/>
          </w:tcPr>
          <w:p w14:paraId="199AC3CB" w14:textId="01CB5B71" w:rsidR="00E0219D" w:rsidRDefault="00A8456A" w:rsidP="00F32BBC">
            <w:r>
              <w:t>VIS1</w:t>
            </w:r>
          </w:p>
        </w:tc>
        <w:tc>
          <w:tcPr>
            <w:tcW w:w="2953" w:type="dxa"/>
          </w:tcPr>
          <w:p w14:paraId="2B1DCFE0" w14:textId="3EDC0439" w:rsidR="00E0219D" w:rsidRDefault="00E0219D" w:rsidP="00F32BBC">
            <w:r>
              <w:t>Single version output, suitable for multi-device delivery</w:t>
            </w:r>
          </w:p>
        </w:tc>
        <w:tc>
          <w:tcPr>
            <w:tcW w:w="6186" w:type="dxa"/>
          </w:tcPr>
          <w:p w14:paraId="31BC8DE1" w14:textId="77777777" w:rsidR="00E0219D" w:rsidRDefault="00E0219D" w:rsidP="00F32BBC"/>
        </w:tc>
      </w:tr>
      <w:tr w:rsidR="00E0219D" w14:paraId="00D314F9" w14:textId="77777777" w:rsidTr="00E0219D">
        <w:tc>
          <w:tcPr>
            <w:tcW w:w="817" w:type="dxa"/>
          </w:tcPr>
          <w:p w14:paraId="3C8B5B15" w14:textId="717F9EF1" w:rsidR="00E0219D" w:rsidRDefault="00A8456A" w:rsidP="00F32BBC">
            <w:r>
              <w:t>VIS2</w:t>
            </w:r>
          </w:p>
        </w:tc>
        <w:tc>
          <w:tcPr>
            <w:tcW w:w="2953" w:type="dxa"/>
          </w:tcPr>
          <w:p w14:paraId="28B49590" w14:textId="6156085A" w:rsidR="00E0219D" w:rsidRDefault="00E0219D" w:rsidP="00F32BBC">
            <w:r>
              <w:t>Freely available</w:t>
            </w:r>
          </w:p>
        </w:tc>
        <w:tc>
          <w:tcPr>
            <w:tcW w:w="6186" w:type="dxa"/>
          </w:tcPr>
          <w:p w14:paraId="32DA6EA2" w14:textId="77777777" w:rsidR="00E0219D" w:rsidRDefault="00E0219D" w:rsidP="00F32BBC"/>
        </w:tc>
      </w:tr>
      <w:tr w:rsidR="00E0219D" w14:paraId="69A5395D" w14:textId="77777777" w:rsidTr="00E0219D">
        <w:tc>
          <w:tcPr>
            <w:tcW w:w="817" w:type="dxa"/>
          </w:tcPr>
          <w:p w14:paraId="205663C9" w14:textId="7C7420A3" w:rsidR="00E0219D" w:rsidRDefault="00A8456A" w:rsidP="00F32BBC">
            <w:r>
              <w:t>VIS2,</w:t>
            </w:r>
            <w:r>
              <w:br/>
            </w:r>
            <w:r w:rsidR="00290748">
              <w:t>VIS3</w:t>
            </w:r>
          </w:p>
        </w:tc>
        <w:tc>
          <w:tcPr>
            <w:tcW w:w="2953" w:type="dxa"/>
          </w:tcPr>
          <w:p w14:paraId="780ECBDB" w14:textId="49320E2B" w:rsidR="00E0219D" w:rsidRDefault="00E0219D" w:rsidP="00F32BBC">
            <w:r>
              <w:t>In-house development, breadth of target audience</w:t>
            </w:r>
          </w:p>
        </w:tc>
        <w:tc>
          <w:tcPr>
            <w:tcW w:w="6186" w:type="dxa"/>
          </w:tcPr>
          <w:p w14:paraId="6AAF7EED" w14:textId="7DE9D7EB" w:rsidR="00E0219D" w:rsidRDefault="00E0219D" w:rsidP="00F32BBC">
            <w:r>
              <w:t>Multi-organisation</w:t>
            </w:r>
          </w:p>
        </w:tc>
      </w:tr>
      <w:tr w:rsidR="00E0219D" w14:paraId="0149F5EE" w14:textId="77777777" w:rsidTr="00E0219D">
        <w:tc>
          <w:tcPr>
            <w:tcW w:w="817" w:type="dxa"/>
          </w:tcPr>
          <w:p w14:paraId="5F2C0322" w14:textId="41D99A43" w:rsidR="00E0219D" w:rsidRDefault="00806C23" w:rsidP="00F32BBC">
            <w:r>
              <w:t>VIS3</w:t>
            </w:r>
          </w:p>
        </w:tc>
        <w:tc>
          <w:tcPr>
            <w:tcW w:w="2953" w:type="dxa"/>
          </w:tcPr>
          <w:p w14:paraId="5FE068CD" w14:textId="2D3ED988" w:rsidR="00E0219D" w:rsidRDefault="00E0219D" w:rsidP="00F32BBC">
            <w:r>
              <w:t>Global take-up, multi language</w:t>
            </w:r>
          </w:p>
        </w:tc>
        <w:tc>
          <w:tcPr>
            <w:tcW w:w="6186" w:type="dxa"/>
          </w:tcPr>
          <w:p w14:paraId="3F21731D" w14:textId="77777777" w:rsidR="00E0219D" w:rsidRDefault="00E0219D" w:rsidP="00F32BBC"/>
        </w:tc>
      </w:tr>
      <w:tr w:rsidR="00E0219D" w14:paraId="02A46D5C" w14:textId="77777777" w:rsidTr="00E0219D">
        <w:tc>
          <w:tcPr>
            <w:tcW w:w="817" w:type="dxa"/>
          </w:tcPr>
          <w:p w14:paraId="0F4A6E7A" w14:textId="215A6B56" w:rsidR="00E0219D" w:rsidRDefault="002C2D18" w:rsidP="00F32BBC">
            <w:r>
              <w:t>VIS3</w:t>
            </w:r>
          </w:p>
        </w:tc>
        <w:tc>
          <w:tcPr>
            <w:tcW w:w="2953" w:type="dxa"/>
          </w:tcPr>
          <w:p w14:paraId="5EB0B4E1" w14:textId="36810931" w:rsidR="00E0219D" w:rsidRDefault="00E0219D" w:rsidP="00F32BBC">
            <w:r>
              <w:t>Mass adoption, GPL</w:t>
            </w:r>
          </w:p>
        </w:tc>
        <w:tc>
          <w:tcPr>
            <w:tcW w:w="6186" w:type="dxa"/>
          </w:tcPr>
          <w:p w14:paraId="3C18132D" w14:textId="77777777" w:rsidR="00E0219D" w:rsidRDefault="00E0219D" w:rsidP="00F32BBC"/>
        </w:tc>
      </w:tr>
      <w:tr w:rsidR="00E0219D" w14:paraId="5E12CB66" w14:textId="77777777" w:rsidTr="00E0219D">
        <w:tc>
          <w:tcPr>
            <w:tcW w:w="817" w:type="dxa"/>
          </w:tcPr>
          <w:p w14:paraId="1543B18F" w14:textId="6FB0E8A4" w:rsidR="00E0219D" w:rsidRDefault="00897309" w:rsidP="00F32BBC">
            <w:r>
              <w:t>VIS3,</w:t>
            </w:r>
            <w:r>
              <w:br/>
              <w:t>VIS4</w:t>
            </w:r>
          </w:p>
        </w:tc>
        <w:tc>
          <w:tcPr>
            <w:tcW w:w="2953" w:type="dxa"/>
          </w:tcPr>
          <w:p w14:paraId="19DBBCA7" w14:textId="357CF159" w:rsidR="00E0219D" w:rsidRDefault="00E0219D" w:rsidP="00F32BBC">
            <w:r>
              <w:t>Difference between end users and developers</w:t>
            </w:r>
          </w:p>
        </w:tc>
        <w:tc>
          <w:tcPr>
            <w:tcW w:w="6186" w:type="dxa"/>
          </w:tcPr>
          <w:p w14:paraId="1DE10F40" w14:textId="77777777" w:rsidR="00E0219D" w:rsidRDefault="00E0219D" w:rsidP="00F32BBC"/>
        </w:tc>
      </w:tr>
      <w:tr w:rsidR="00E0219D" w14:paraId="4A0936CC" w14:textId="77777777" w:rsidTr="00E0219D">
        <w:tc>
          <w:tcPr>
            <w:tcW w:w="817" w:type="dxa"/>
          </w:tcPr>
          <w:p w14:paraId="45DF735E" w14:textId="3FCBA6C4" w:rsidR="00E0219D" w:rsidRDefault="00790E5F" w:rsidP="00F32BBC">
            <w:r>
              <w:t>VIS3,</w:t>
            </w:r>
            <w:r>
              <w:br/>
              <w:t>VIS4</w:t>
            </w:r>
          </w:p>
        </w:tc>
        <w:tc>
          <w:tcPr>
            <w:tcW w:w="2953" w:type="dxa"/>
          </w:tcPr>
          <w:p w14:paraId="3DC83504" w14:textId="60FF86B3" w:rsidR="00E0219D" w:rsidRDefault="00E0219D" w:rsidP="00F32BBC">
            <w:r>
              <w:t>Low barrier to entry</w:t>
            </w:r>
          </w:p>
        </w:tc>
        <w:tc>
          <w:tcPr>
            <w:tcW w:w="6186" w:type="dxa"/>
          </w:tcPr>
          <w:p w14:paraId="44A6B20B" w14:textId="5C33DD59" w:rsidR="00E0219D" w:rsidRDefault="00E0219D" w:rsidP="00F32BBC">
            <w:r>
              <w:t>Success in 5 minutes, well documented, examples</w:t>
            </w:r>
          </w:p>
        </w:tc>
      </w:tr>
      <w:tr w:rsidR="00E0219D" w14:paraId="55200EEF" w14:textId="77777777" w:rsidTr="00E0219D">
        <w:tc>
          <w:tcPr>
            <w:tcW w:w="817" w:type="dxa"/>
          </w:tcPr>
          <w:p w14:paraId="15DC0D6E" w14:textId="33B2B35B" w:rsidR="00E0219D" w:rsidRDefault="00066CD9" w:rsidP="00F32BBC">
            <w:r>
              <w:t>VIS4,</w:t>
            </w:r>
            <w:r>
              <w:br/>
              <w:t>VIS1</w:t>
            </w:r>
          </w:p>
        </w:tc>
        <w:tc>
          <w:tcPr>
            <w:tcW w:w="2953" w:type="dxa"/>
          </w:tcPr>
          <w:p w14:paraId="2EFE6FDC" w14:textId="2859BE08" w:rsidR="00E0219D" w:rsidRDefault="00E0219D" w:rsidP="00F32BBC">
            <w:r>
              <w:t>Intuitive and easy to use for non-technical end users</w:t>
            </w:r>
          </w:p>
        </w:tc>
        <w:tc>
          <w:tcPr>
            <w:tcW w:w="6186" w:type="dxa"/>
          </w:tcPr>
          <w:p w14:paraId="72161B3E" w14:textId="76D294DA" w:rsidR="00E0219D" w:rsidRDefault="004734CD" w:rsidP="00F32BBC">
            <w:r>
              <w:t>Market leading</w:t>
            </w:r>
          </w:p>
        </w:tc>
      </w:tr>
      <w:tr w:rsidR="00E0219D" w14:paraId="427F930B" w14:textId="77777777" w:rsidTr="00E0219D">
        <w:tc>
          <w:tcPr>
            <w:tcW w:w="817" w:type="dxa"/>
          </w:tcPr>
          <w:p w14:paraId="1B6FE99B" w14:textId="50B30105" w:rsidR="00E0219D" w:rsidRDefault="00DB2850" w:rsidP="00E270DB">
            <w:r>
              <w:t>VIS5</w:t>
            </w:r>
          </w:p>
        </w:tc>
        <w:tc>
          <w:tcPr>
            <w:tcW w:w="2953" w:type="dxa"/>
          </w:tcPr>
          <w:p w14:paraId="138E58EE" w14:textId="35FBE43E" w:rsidR="00E0219D" w:rsidRDefault="00E0219D" w:rsidP="00E270DB">
            <w:r>
              <w:t xml:space="preserve">Typical environment, mindful of best practice and systems in the marketplace </w:t>
            </w:r>
          </w:p>
        </w:tc>
        <w:tc>
          <w:tcPr>
            <w:tcW w:w="6186" w:type="dxa"/>
          </w:tcPr>
          <w:p w14:paraId="56F6509E" w14:textId="4CBF88C1" w:rsidR="00E0219D" w:rsidRDefault="00E0219D" w:rsidP="00F32BBC">
            <w:r>
              <w:t>Pluggable, interoperability</w:t>
            </w:r>
          </w:p>
        </w:tc>
      </w:tr>
      <w:tr w:rsidR="00E0219D" w14:paraId="12A321B8" w14:textId="77777777" w:rsidTr="00E0219D">
        <w:tc>
          <w:tcPr>
            <w:tcW w:w="817" w:type="dxa"/>
          </w:tcPr>
          <w:p w14:paraId="4D4EBA6F" w14:textId="0EA743C9" w:rsidR="00E0219D" w:rsidRDefault="009A2E83" w:rsidP="00E01525">
            <w:r>
              <w:t>VIS3</w:t>
            </w:r>
          </w:p>
        </w:tc>
        <w:tc>
          <w:tcPr>
            <w:tcW w:w="2953" w:type="dxa"/>
          </w:tcPr>
          <w:p w14:paraId="1B684C70" w14:textId="2F6192EF" w:rsidR="00E0219D" w:rsidRDefault="00E0219D" w:rsidP="00E01525">
            <w:r>
              <w:t>Flexible, extensible</w:t>
            </w:r>
          </w:p>
        </w:tc>
        <w:tc>
          <w:tcPr>
            <w:tcW w:w="6186" w:type="dxa"/>
          </w:tcPr>
          <w:p w14:paraId="0B4935D7" w14:textId="77777777" w:rsidR="00E0219D" w:rsidRDefault="00E0219D" w:rsidP="00F32BBC"/>
        </w:tc>
      </w:tr>
    </w:tbl>
    <w:p w14:paraId="7E081722" w14:textId="77777777" w:rsidR="00F32BBC" w:rsidRDefault="00F32BBC" w:rsidP="00F32BBC"/>
    <w:p w14:paraId="176C7F52" w14:textId="77777777" w:rsidR="00F32BBC" w:rsidRDefault="00F32BBC" w:rsidP="00F32BBC"/>
    <w:p w14:paraId="385D2BF4" w14:textId="77777777" w:rsidR="00F32BBC" w:rsidRPr="00F32BBC" w:rsidRDefault="00F32BBC" w:rsidP="00F32BBC"/>
    <w:p w14:paraId="4B9576F5" w14:textId="40017C08" w:rsidR="009A21D3" w:rsidRDefault="009A21D3" w:rsidP="009A21D3">
      <w:pPr>
        <w:pStyle w:val="Heading1"/>
      </w:pPr>
      <w:r>
        <w:t>Community and engagement principles</w:t>
      </w:r>
    </w:p>
    <w:p w14:paraId="73A71F2F" w14:textId="76A3C1B9" w:rsidR="005058B9" w:rsidRDefault="005058B9" w:rsidP="005058B9">
      <w:r>
        <w:t>Project administration</w:t>
      </w:r>
    </w:p>
    <w:p w14:paraId="0A148096" w14:textId="4F95B7A2" w:rsidR="00B73540" w:rsidRPr="005058B9" w:rsidRDefault="00B73540" w:rsidP="005058B9">
      <w:r>
        <w:t>Driven by end users</w:t>
      </w:r>
    </w:p>
    <w:p w14:paraId="21B9D665" w14:textId="4B1E66DA" w:rsidR="00357A8F" w:rsidRDefault="00357A8F" w:rsidP="00F32BBC">
      <w:pPr>
        <w:pStyle w:val="Heading1"/>
      </w:pPr>
      <w:r>
        <w:t>Design principles</w:t>
      </w:r>
    </w:p>
    <w:p w14:paraId="3D703182" w14:textId="7C8E67D0" w:rsidR="00357A8F" w:rsidRDefault="00357A8F" w:rsidP="00F32BBC">
      <w:pPr>
        <w:pStyle w:val="Heading1"/>
      </w:pPr>
      <w:r>
        <w:t>Architectural principles</w:t>
      </w:r>
    </w:p>
    <w:p w14:paraId="602EC026" w14:textId="4FED4977" w:rsidR="00357A8F" w:rsidRDefault="00357A8F" w:rsidP="00F32BBC">
      <w:pPr>
        <w:pStyle w:val="Heading1"/>
      </w:pPr>
      <w:r>
        <w:t>Development principles</w:t>
      </w:r>
    </w:p>
    <w:p w14:paraId="46DC77E0" w14:textId="71699D35" w:rsidR="00357A8F" w:rsidRPr="00A22D88" w:rsidRDefault="00357A8F" w:rsidP="00713640"/>
    <w:sectPr w:rsidR="00357A8F" w:rsidRPr="00A22D88" w:rsidSect="005F6114">
      <w:headerReference w:type="default" r:id="rId9"/>
      <w:footerReference w:type="even" r:id="rId10"/>
      <w:footerReference w:type="default" r:id="rId11"/>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0676E1" w:rsidRDefault="000676E1" w:rsidP="00E104A5">
      <w:r>
        <w:separator/>
      </w:r>
    </w:p>
  </w:endnote>
  <w:endnote w:type="continuationSeparator" w:id="0">
    <w:p w14:paraId="165C830E" w14:textId="77777777" w:rsidR="000676E1" w:rsidRDefault="000676E1"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0676E1" w:rsidRDefault="000676E1"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0676E1" w:rsidRDefault="000676E1"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0676E1" w:rsidRDefault="000676E1"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14871">
      <w:rPr>
        <w:rStyle w:val="PageNumber"/>
        <w:noProof/>
      </w:rPr>
      <w:t>4</w:t>
    </w:r>
    <w:r>
      <w:rPr>
        <w:rStyle w:val="PageNumber"/>
      </w:rPr>
      <w:fldChar w:fldCharType="end"/>
    </w:r>
  </w:p>
  <w:p w14:paraId="54E50E9B" w14:textId="77777777" w:rsidR="000676E1" w:rsidRDefault="000676E1"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0676E1" w:rsidRDefault="000676E1" w:rsidP="00E104A5">
      <w:r>
        <w:separator/>
      </w:r>
    </w:p>
  </w:footnote>
  <w:footnote w:type="continuationSeparator" w:id="0">
    <w:p w14:paraId="5FEA84FD" w14:textId="77777777" w:rsidR="000676E1" w:rsidRDefault="000676E1"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7BF40854" w:rsidR="000676E1" w:rsidRPr="00E104A5" w:rsidRDefault="000676E1"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0676E1" w:rsidRDefault="000676E1"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0676E1" w:rsidRDefault="000676E1"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Themes and principles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7351"/>
    <w:multiLevelType w:val="hybridMultilevel"/>
    <w:tmpl w:val="661E0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903E09"/>
    <w:multiLevelType w:val="hybridMultilevel"/>
    <w:tmpl w:val="2F6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29D79DF"/>
    <w:multiLevelType w:val="multilevel"/>
    <w:tmpl w:val="3F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5983"/>
    <w:rsid w:val="000271E9"/>
    <w:rsid w:val="00031DEB"/>
    <w:rsid w:val="00037DAD"/>
    <w:rsid w:val="00040380"/>
    <w:rsid w:val="00046A1B"/>
    <w:rsid w:val="00054B88"/>
    <w:rsid w:val="000556FF"/>
    <w:rsid w:val="000606AD"/>
    <w:rsid w:val="00060C28"/>
    <w:rsid w:val="00066CD9"/>
    <w:rsid w:val="000676E1"/>
    <w:rsid w:val="00071DE8"/>
    <w:rsid w:val="00084134"/>
    <w:rsid w:val="00095CC6"/>
    <w:rsid w:val="00097C78"/>
    <w:rsid w:val="000A5806"/>
    <w:rsid w:val="000B7A24"/>
    <w:rsid w:val="000C7C39"/>
    <w:rsid w:val="000D22C0"/>
    <w:rsid w:val="00102B61"/>
    <w:rsid w:val="00104A92"/>
    <w:rsid w:val="00110AA4"/>
    <w:rsid w:val="00114871"/>
    <w:rsid w:val="00121129"/>
    <w:rsid w:val="001254E2"/>
    <w:rsid w:val="00163514"/>
    <w:rsid w:val="001748DF"/>
    <w:rsid w:val="00176591"/>
    <w:rsid w:val="001803C2"/>
    <w:rsid w:val="0019450C"/>
    <w:rsid w:val="001A79E5"/>
    <w:rsid w:val="001C15A9"/>
    <w:rsid w:val="001C3900"/>
    <w:rsid w:val="001C3CF5"/>
    <w:rsid w:val="001C4F75"/>
    <w:rsid w:val="001C6D43"/>
    <w:rsid w:val="001D72D9"/>
    <w:rsid w:val="001E04B9"/>
    <w:rsid w:val="001F1CAC"/>
    <w:rsid w:val="001F6CA1"/>
    <w:rsid w:val="0020370A"/>
    <w:rsid w:val="0021041F"/>
    <w:rsid w:val="00215785"/>
    <w:rsid w:val="00216A9A"/>
    <w:rsid w:val="00222F1D"/>
    <w:rsid w:val="00223927"/>
    <w:rsid w:val="00254C2B"/>
    <w:rsid w:val="002805D8"/>
    <w:rsid w:val="00290748"/>
    <w:rsid w:val="002918DD"/>
    <w:rsid w:val="0029621A"/>
    <w:rsid w:val="002C2D18"/>
    <w:rsid w:val="002D5C7F"/>
    <w:rsid w:val="002F5C41"/>
    <w:rsid w:val="002F61A7"/>
    <w:rsid w:val="00315D93"/>
    <w:rsid w:val="00320796"/>
    <w:rsid w:val="00325070"/>
    <w:rsid w:val="00335873"/>
    <w:rsid w:val="00344B0B"/>
    <w:rsid w:val="00356D90"/>
    <w:rsid w:val="00357A8F"/>
    <w:rsid w:val="00362D08"/>
    <w:rsid w:val="003659B8"/>
    <w:rsid w:val="00380053"/>
    <w:rsid w:val="003957BB"/>
    <w:rsid w:val="003A3377"/>
    <w:rsid w:val="003A35B9"/>
    <w:rsid w:val="003A71D6"/>
    <w:rsid w:val="003B4207"/>
    <w:rsid w:val="003C6FB8"/>
    <w:rsid w:val="003D3194"/>
    <w:rsid w:val="003D4395"/>
    <w:rsid w:val="003D7086"/>
    <w:rsid w:val="003F6E49"/>
    <w:rsid w:val="00413414"/>
    <w:rsid w:val="00413C21"/>
    <w:rsid w:val="00460A80"/>
    <w:rsid w:val="00461759"/>
    <w:rsid w:val="004661F0"/>
    <w:rsid w:val="004734CD"/>
    <w:rsid w:val="00481017"/>
    <w:rsid w:val="004821A1"/>
    <w:rsid w:val="0048550B"/>
    <w:rsid w:val="0049462D"/>
    <w:rsid w:val="004A0939"/>
    <w:rsid w:val="004A76AF"/>
    <w:rsid w:val="004B3421"/>
    <w:rsid w:val="004C6E9C"/>
    <w:rsid w:val="004D1BFE"/>
    <w:rsid w:val="004D21B0"/>
    <w:rsid w:val="004D49B7"/>
    <w:rsid w:val="004D7A83"/>
    <w:rsid w:val="004E09C7"/>
    <w:rsid w:val="004E377E"/>
    <w:rsid w:val="004E4290"/>
    <w:rsid w:val="00500CE4"/>
    <w:rsid w:val="005058B9"/>
    <w:rsid w:val="00507D34"/>
    <w:rsid w:val="0051588B"/>
    <w:rsid w:val="00517766"/>
    <w:rsid w:val="005272A2"/>
    <w:rsid w:val="00534F2E"/>
    <w:rsid w:val="005350FD"/>
    <w:rsid w:val="00535E02"/>
    <w:rsid w:val="00546A27"/>
    <w:rsid w:val="00561828"/>
    <w:rsid w:val="00573384"/>
    <w:rsid w:val="00586ED9"/>
    <w:rsid w:val="00592310"/>
    <w:rsid w:val="00592BBD"/>
    <w:rsid w:val="00594DA5"/>
    <w:rsid w:val="0059553D"/>
    <w:rsid w:val="005A24E1"/>
    <w:rsid w:val="005F3702"/>
    <w:rsid w:val="005F6114"/>
    <w:rsid w:val="006028DD"/>
    <w:rsid w:val="00613D18"/>
    <w:rsid w:val="00614508"/>
    <w:rsid w:val="00682075"/>
    <w:rsid w:val="006852E7"/>
    <w:rsid w:val="00691142"/>
    <w:rsid w:val="006C5B71"/>
    <w:rsid w:val="006D1CD5"/>
    <w:rsid w:val="00704269"/>
    <w:rsid w:val="00710B9D"/>
    <w:rsid w:val="00713640"/>
    <w:rsid w:val="007301AC"/>
    <w:rsid w:val="007322BC"/>
    <w:rsid w:val="00740081"/>
    <w:rsid w:val="00741A9C"/>
    <w:rsid w:val="00756353"/>
    <w:rsid w:val="00761BF2"/>
    <w:rsid w:val="007768DA"/>
    <w:rsid w:val="00785F4E"/>
    <w:rsid w:val="00790E5F"/>
    <w:rsid w:val="007A6922"/>
    <w:rsid w:val="007C66B1"/>
    <w:rsid w:val="007D4ED1"/>
    <w:rsid w:val="007E541B"/>
    <w:rsid w:val="007F6C4F"/>
    <w:rsid w:val="0080588C"/>
    <w:rsid w:val="00806C23"/>
    <w:rsid w:val="0081177A"/>
    <w:rsid w:val="00811E4A"/>
    <w:rsid w:val="00837E4A"/>
    <w:rsid w:val="00840398"/>
    <w:rsid w:val="0084432C"/>
    <w:rsid w:val="00862F36"/>
    <w:rsid w:val="00872E2B"/>
    <w:rsid w:val="008831E8"/>
    <w:rsid w:val="008863B7"/>
    <w:rsid w:val="0089503A"/>
    <w:rsid w:val="00897309"/>
    <w:rsid w:val="008F1180"/>
    <w:rsid w:val="0090582A"/>
    <w:rsid w:val="00907825"/>
    <w:rsid w:val="009261F4"/>
    <w:rsid w:val="00944223"/>
    <w:rsid w:val="009505DC"/>
    <w:rsid w:val="009555FC"/>
    <w:rsid w:val="00963BF3"/>
    <w:rsid w:val="00970281"/>
    <w:rsid w:val="00971BD2"/>
    <w:rsid w:val="00985872"/>
    <w:rsid w:val="00991D43"/>
    <w:rsid w:val="009945A5"/>
    <w:rsid w:val="00996E32"/>
    <w:rsid w:val="009A21D3"/>
    <w:rsid w:val="009A2E83"/>
    <w:rsid w:val="009D341F"/>
    <w:rsid w:val="009D6FFE"/>
    <w:rsid w:val="009E7DA4"/>
    <w:rsid w:val="009F1AB5"/>
    <w:rsid w:val="009F1F0D"/>
    <w:rsid w:val="00A177B1"/>
    <w:rsid w:val="00A207BC"/>
    <w:rsid w:val="00A22D88"/>
    <w:rsid w:val="00A3613A"/>
    <w:rsid w:val="00A40BA8"/>
    <w:rsid w:val="00A57657"/>
    <w:rsid w:val="00A57CC0"/>
    <w:rsid w:val="00A640BF"/>
    <w:rsid w:val="00A651AC"/>
    <w:rsid w:val="00A815A6"/>
    <w:rsid w:val="00A8456A"/>
    <w:rsid w:val="00A920BC"/>
    <w:rsid w:val="00A92D7A"/>
    <w:rsid w:val="00AA0076"/>
    <w:rsid w:val="00AA0BF2"/>
    <w:rsid w:val="00AA1C0E"/>
    <w:rsid w:val="00AB19E7"/>
    <w:rsid w:val="00AD2966"/>
    <w:rsid w:val="00AE577B"/>
    <w:rsid w:val="00AF1E1D"/>
    <w:rsid w:val="00B06B42"/>
    <w:rsid w:val="00B10AE6"/>
    <w:rsid w:val="00B116D3"/>
    <w:rsid w:val="00B4303D"/>
    <w:rsid w:val="00B542C3"/>
    <w:rsid w:val="00B55FE7"/>
    <w:rsid w:val="00B6556C"/>
    <w:rsid w:val="00B6764E"/>
    <w:rsid w:val="00B73540"/>
    <w:rsid w:val="00B753ED"/>
    <w:rsid w:val="00B76B2F"/>
    <w:rsid w:val="00B9112F"/>
    <w:rsid w:val="00B940E9"/>
    <w:rsid w:val="00B968F6"/>
    <w:rsid w:val="00BA0850"/>
    <w:rsid w:val="00BA0A09"/>
    <w:rsid w:val="00BB75BE"/>
    <w:rsid w:val="00BC2D27"/>
    <w:rsid w:val="00BC56F5"/>
    <w:rsid w:val="00BD0544"/>
    <w:rsid w:val="00BD07CE"/>
    <w:rsid w:val="00BD7E92"/>
    <w:rsid w:val="00BE19AE"/>
    <w:rsid w:val="00BE3AB1"/>
    <w:rsid w:val="00BF2FFD"/>
    <w:rsid w:val="00C0794E"/>
    <w:rsid w:val="00C238DF"/>
    <w:rsid w:val="00C25E01"/>
    <w:rsid w:val="00C323BD"/>
    <w:rsid w:val="00C6371E"/>
    <w:rsid w:val="00C8112D"/>
    <w:rsid w:val="00C87746"/>
    <w:rsid w:val="00C9026A"/>
    <w:rsid w:val="00C90D17"/>
    <w:rsid w:val="00CA15E3"/>
    <w:rsid w:val="00CA3E2C"/>
    <w:rsid w:val="00D043FA"/>
    <w:rsid w:val="00D206B4"/>
    <w:rsid w:val="00D212B5"/>
    <w:rsid w:val="00D4584B"/>
    <w:rsid w:val="00D611A7"/>
    <w:rsid w:val="00D77984"/>
    <w:rsid w:val="00D859AA"/>
    <w:rsid w:val="00D8618D"/>
    <w:rsid w:val="00D94E71"/>
    <w:rsid w:val="00D95D8E"/>
    <w:rsid w:val="00DA176F"/>
    <w:rsid w:val="00DA35F1"/>
    <w:rsid w:val="00DA4F88"/>
    <w:rsid w:val="00DB2850"/>
    <w:rsid w:val="00DC78A1"/>
    <w:rsid w:val="00DF0675"/>
    <w:rsid w:val="00DF2076"/>
    <w:rsid w:val="00DF7B25"/>
    <w:rsid w:val="00E01525"/>
    <w:rsid w:val="00E0219D"/>
    <w:rsid w:val="00E104A5"/>
    <w:rsid w:val="00E11A5F"/>
    <w:rsid w:val="00E1301D"/>
    <w:rsid w:val="00E14204"/>
    <w:rsid w:val="00E22794"/>
    <w:rsid w:val="00E270DB"/>
    <w:rsid w:val="00E417AF"/>
    <w:rsid w:val="00EA3264"/>
    <w:rsid w:val="00EB76F4"/>
    <w:rsid w:val="00ED51A9"/>
    <w:rsid w:val="00EE21A1"/>
    <w:rsid w:val="00EE6EF8"/>
    <w:rsid w:val="00EF0EFE"/>
    <w:rsid w:val="00F03460"/>
    <w:rsid w:val="00F06B3B"/>
    <w:rsid w:val="00F10D6F"/>
    <w:rsid w:val="00F1480B"/>
    <w:rsid w:val="00F17FAB"/>
    <w:rsid w:val="00F21F3B"/>
    <w:rsid w:val="00F3239D"/>
    <w:rsid w:val="00F32BBC"/>
    <w:rsid w:val="00F4177D"/>
    <w:rsid w:val="00F42CD9"/>
    <w:rsid w:val="00F45104"/>
    <w:rsid w:val="00F53D1E"/>
    <w:rsid w:val="00F576A0"/>
    <w:rsid w:val="00F71AAB"/>
    <w:rsid w:val="00F72132"/>
    <w:rsid w:val="00F87F72"/>
    <w:rsid w:val="00F94258"/>
    <w:rsid w:val="00F95D37"/>
    <w:rsid w:val="00FB6656"/>
    <w:rsid w:val="00FB77C0"/>
    <w:rsid w:val="00FC29A6"/>
    <w:rsid w:val="00FD25D4"/>
    <w:rsid w:val="00FF1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326985876">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51EEA-CE3F-044A-BE64-BBF9F968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921</Words>
  <Characters>5255</Characters>
  <Application>Microsoft Macintosh Word</Application>
  <DocSecurity>0</DocSecurity>
  <Lines>43</Lines>
  <Paragraphs>12</Paragraphs>
  <ScaleCrop>false</ScaleCrop>
  <Company/>
  <LinksUpToDate>false</LinksUpToDate>
  <CharactersWithSpaces>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63</cp:revision>
  <cp:lastPrinted>2013-11-07T17:40:00Z</cp:lastPrinted>
  <dcterms:created xsi:type="dcterms:W3CDTF">2013-11-13T16:28:00Z</dcterms:created>
  <dcterms:modified xsi:type="dcterms:W3CDTF">2013-11-14T00:18:00Z</dcterms:modified>
</cp:coreProperties>
</file>