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sz w:val="32"/>
        </w:rPr>
        <w:t>Forecast Accuracy: LightGBM vs. Experience-Based YoY Forecasting</w:t>
      </w:r>
    </w:p>
    <w:p/>
    <w:p>
      <w:r>
        <w:rPr>
          <w:sz w:val="22"/>
        </w:rPr>
        <w:t xml:space="preserve">This document compares two forecasting approaches evaluated on the 61-day holdout period (November 1 – December 31, 2025): the </w:t>
      </w:r>
      <w:r>
        <w:rPr>
          <w:b/>
          <w:sz w:val="22"/>
        </w:rPr>
        <w:t>Experience-Based Year-over-Year (YoY) forecast</w:t>
      </w:r>
      <w:r>
        <w:rPr>
          <w:sz w:val="22"/>
        </w:rPr>
        <w:t xml:space="preserve"> — the most defensible manual approach available to an experienced revenue manager — and the </w:t>
      </w:r>
      <w:r>
        <w:rPr>
          <w:b/>
          <w:sz w:val="22"/>
        </w:rPr>
        <w:t>LightGBM machine learning model</w:t>
      </w:r>
      <w:r>
        <w:rPr>
          <w:sz w:val="22"/>
        </w:rPr>
        <w:t xml:space="preserve"> trained on Arlo Williamsburg's own booking and operational data.</w:t>
      </w:r>
    </w:p>
    <w:p/>
    <w:p>
      <w:pPr>
        <w:pStyle w:val="Heading2"/>
      </w:pPr>
      <w:r>
        <w:rPr>
          <w:color w:val="1F3864"/>
        </w:rPr>
        <w:t>Methodology</w:t>
      </w:r>
    </w:p>
    <w:p>
      <w:pPr>
        <w:pStyle w:val="Heading3"/>
      </w:pPr>
      <w:r>
        <w:rPr>
          <w:color w:val="2E74B5"/>
        </w:rPr>
        <w:t>Experience-Based YoY Forecast</w:t>
      </w:r>
    </w:p>
    <w:p>
      <w:pPr>
        <w:pStyle w:val="ListNumber"/>
      </w:pPr>
      <w:r>
        <w:rPr>
          <w:b/>
          <w:sz w:val="20"/>
        </w:rPr>
        <w:t xml:space="preserve">Step 1 — Establish the prior-year base.  </w:t>
      </w:r>
      <w:r>
        <w:rPr>
          <w:sz w:val="20"/>
        </w:rPr>
        <w:t>The actual daily values for each KPI (room revenue, occupancy rate, ADR, RevPAR) from November 1 – December 31, 2024 were extracted from the PMS daily statistics export. These 61 calendar days serve as the raw prior-year base for the forecast.</w:t>
      </w:r>
    </w:p>
    <w:p>
      <w:pPr>
        <w:pStyle w:val="ListNumber"/>
      </w:pPr>
      <w:r>
        <w:rPr>
          <w:b/>
          <w:sz w:val="20"/>
        </w:rPr>
        <w:t xml:space="preserve">Step 2 — Compute the YTD growth trend.  </w:t>
      </w:r>
      <w:r>
        <w:rPr>
          <w:sz w:val="20"/>
        </w:rPr>
        <w:t>For each KPI, the year-to-date (YTD) performance from January 1 – October 31 was compared across both years to derive a KPI-specific growth factor:</w:t>
        <w:br/>
        <w:t xml:space="preserve">    Growth factor  =  mean(Jan–Oct 2025 actuals)  ÷  mean(Jan–Oct 2024 actuals)</w:t>
        <w:br/>
        <w:t>This produced the following adjustments:</w:t>
        <w:br/>
        <w:t xml:space="preserve">    Revenue: +8.2%   |   Occupancy: +1.8%   |   ADR: +1.7%   |   RevPAR: +3.7%</w:t>
        <w:br/>
        <w:t>These factors encode the trajectory of the business through the year and reflect the kind of trend adjustment an experienced revenue manager would apply when projecting the final two months of the year.</w:t>
      </w:r>
    </w:p>
    <w:p>
      <w:pPr>
        <w:pStyle w:val="ListNumber"/>
      </w:pPr>
      <w:r>
        <w:rPr>
          <w:b/>
          <w:sz w:val="20"/>
        </w:rPr>
        <w:t xml:space="preserve">Step 3 — Apply growth factors to produce the forecast.  </w:t>
      </w:r>
      <w:r>
        <w:rPr>
          <w:sz w:val="20"/>
        </w:rPr>
        <w:t>Each daily base value from 2024 was multiplied by the corresponding KPI growth factor to produce a 2025 forecast:</w:t>
        <w:br/>
        <w:t xml:space="preserve">    Forecast(date, KPI)  =  Actual(date − 364 days, KPI)  ×  (1 + growth factor)</w:t>
        <w:br/>
        <w:t>The 364-day offset (exactly 52 weeks) preserves the day-of-week alignment between 2024 and 2025, ensuring that, for example, the Saturday before Thanksgiving 2025 is compared to the Saturday before Thanksgiving 2024 — not to the same calendar date regardless of weekday.</w:t>
      </w:r>
    </w:p>
    <w:p>
      <w:pPr>
        <w:pStyle w:val="ListNumber"/>
      </w:pPr>
      <w:r>
        <w:rPr>
          <w:b/>
          <w:sz w:val="20"/>
        </w:rPr>
        <w:t xml:space="preserve">Step 4 — Evaluate against held-out actuals.  </w:t>
      </w:r>
      <w:r>
        <w:rPr>
          <w:sz w:val="20"/>
        </w:rPr>
        <w:t>The resulting 61 daily forecasts were compared against the 2025 actuals to compute MAPE, MAE, RMSE, and R² using the same evaluation framework as the ML model.</w:t>
      </w:r>
    </w:p>
    <w:p/>
    <w:p>
      <w:pPr>
        <w:pStyle w:val="Heading3"/>
      </w:pPr>
      <w:r>
        <w:rPr>
          <w:color w:val="2E74B5"/>
        </w:rPr>
        <w:t>LightGBM Machine Learning Model</w:t>
      </w:r>
    </w:p>
    <w:p>
      <w:pPr>
        <w:pStyle w:val="ListNumber"/>
      </w:pPr>
      <w:r>
        <w:rPr>
          <w:b/>
          <w:sz w:val="20"/>
        </w:rPr>
        <w:t xml:space="preserve">Data inputs.  </w:t>
      </w:r>
      <w:r>
        <w:rPr>
          <w:sz w:val="20"/>
        </w:rPr>
        <w:t>The model was trained on 670 days of daily records (January 1, 2024 – October 31, 2025) drawn from hotel_model_ready.csv, a dataset assembled by the ETL pipeline from PMS exports, STR competitive benchmarks, Open-Meteo weather data, federal holiday flags, NYC event signals, and Medallia guest satisfaction scores.</w:t>
      </w:r>
    </w:p>
    <w:p>
      <w:pPr>
        <w:pStyle w:val="ListNumber"/>
      </w:pPr>
      <w:r>
        <w:rPr>
          <w:b/>
          <w:sz w:val="20"/>
        </w:rPr>
        <w:t xml:space="preserve">Feature engineering.  </w:t>
      </w:r>
      <w:r>
        <w:rPr>
          <w:sz w:val="20"/>
        </w:rPr>
        <w:t>Eighty-plus predictors were engineered from the master dataset: booking pace at 7/14/21/30/60-day lead times, rooms on books, lag features for occupancy/revenue/ADR at 7/14/28/364-day horizons, 7- and 28-day rolling means, holiday proximity, STR competitive index lags (MPI, ARI, RGI) for ADR and RevPAR models, and calendar encodings. No same-day actuals were included — all inputs are known before the arrival date.</w:t>
      </w:r>
    </w:p>
    <w:p>
      <w:pPr>
        <w:pStyle w:val="ListNumber"/>
      </w:pPr>
      <w:r>
        <w:rPr>
          <w:b/>
          <w:sz w:val="20"/>
        </w:rPr>
        <w:t xml:space="preserve">Temporal split.  </w:t>
      </w:r>
      <w:r>
        <w:rPr>
          <w:sz w:val="20"/>
        </w:rPr>
        <w:t>Training fit: January 1, 2024 – September 30, 2025 (639 days). Early-stopping validation: October 2025 (31 days). Test (held-out): November 1 – December 31, 2025 (61 days). The validation set was used exclusively for LightGBM's early-stopping criterion (stops if RMSE does not improve for 50 consecutive rounds) and played no role in hyperparameter selection.</w:t>
      </w:r>
    </w:p>
    <w:p>
      <w:pPr>
        <w:pStyle w:val="ListNumber"/>
      </w:pPr>
      <w:r>
        <w:rPr>
          <w:b/>
          <w:sz w:val="20"/>
        </w:rPr>
        <w:t xml:space="preserve">Model configuration.  </w:t>
      </w:r>
      <w:r>
        <w:rPr>
          <w:sz w:val="20"/>
        </w:rPr>
        <w:t>Four separate LightGBM regressors were trained, one per target KPI. Key hyperparameters: learning rate 0.03, max 2,000 trees (early stopping determines actual count), 31 leaves, min 15 samples per leaf, 80% feature and row subsampling, L1/L2 regularisation 0.05. Revenue and occupancy models used 67 base features; ADR and RevPAR models added 28 STR competitive features (95 total) after a three-way ablation confirmed their incremental value for rate-related targets.</w:t>
      </w:r>
    </w:p>
    <w:p/>
    <w:p>
      <w:r>
        <w:br w:type="page"/>
      </w:r>
    </w:p>
    <w:p>
      <w:pPr>
        <w:jc w:val="left"/>
      </w:pPr>
      <w:r>
        <w:rPr>
          <w:b/>
          <w:sz w:val="20"/>
        </w:rPr>
        <w:t>Table 12: Forecast Accuracy Comparison — LightGBM vs. Experience-Based YoY Forecasting (Nov–Dec 2025, 61-day holdout)</w:t>
      </w:r>
    </w:p>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vAlign w:val="center"/>
            <w:tcW w:w="1584" w:type="dxa"/>
            <w:shd w:val="clear" w:color="auto" w:fill="1F3864"/>
            <w:tcW w:w="1584" w:type="dxa"/>
          </w:tcPr>
          <w:p>
            <w:pPr>
              <w:jc w:val="center"/>
            </w:pPr>
            <w:r>
              <w:rPr>
                <w:b/>
                <w:color w:val="FFFFFF"/>
                <w:sz w:val="20"/>
              </w:rPr>
            </w:r>
            <w:r>
              <w:rPr>
                <w:b/>
                <w:color w:val="FFFFFF"/>
                <w:sz w:val="20"/>
              </w:rPr>
              <w:t>KPI</w:t>
            </w:r>
          </w:p>
        </w:tc>
        <w:tc>
          <w:tcPr>
            <w:tcW w:type="dxa" w:w="1440"/>
            <w:vAlign w:val="center"/>
            <w:tcW w:w="3168" w:type="dxa"/>
            <w:shd w:val="clear" w:color="auto" w:fill="1F3864"/>
            <w:tcW w:w="3168" w:type="dxa"/>
          </w:tcPr>
          <w:p>
            <w:pPr>
              <w:jc w:val="center"/>
            </w:pPr>
            <w:r>
              <w:rPr>
                <w:b/>
                <w:color w:val="FFFFFF"/>
                <w:sz w:val="20"/>
              </w:rPr>
            </w:r>
            <w:r>
              <w:rPr>
                <w:b/>
                <w:color w:val="FFFFFF"/>
                <w:sz w:val="20"/>
              </w:rPr>
              <w:t>Forecasting Method</w:t>
            </w:r>
          </w:p>
        </w:tc>
        <w:tc>
          <w:tcPr>
            <w:tcW w:type="dxa" w:w="1440"/>
            <w:vAlign w:val="center"/>
            <w:tcW w:w="1296" w:type="dxa"/>
            <w:shd w:val="clear" w:color="auto" w:fill="1F3864"/>
            <w:tcW w:w="1296" w:type="dxa"/>
          </w:tcPr>
          <w:p>
            <w:pPr>
              <w:jc w:val="center"/>
            </w:pPr>
            <w:r>
              <w:rPr>
                <w:b/>
                <w:color w:val="FFFFFF"/>
                <w:sz w:val="20"/>
              </w:rPr>
            </w:r>
            <w:r>
              <w:rPr>
                <w:b/>
                <w:color w:val="FFFFFF"/>
                <w:sz w:val="20"/>
              </w:rPr>
              <w:t>MAPE</w:t>
            </w:r>
          </w:p>
        </w:tc>
        <w:tc>
          <w:tcPr>
            <w:tcW w:type="dxa" w:w="1440"/>
            <w:vAlign w:val="center"/>
            <w:tcW w:w="1872" w:type="dxa"/>
            <w:shd w:val="clear" w:color="auto" w:fill="1F3864"/>
            <w:tcW w:w="1872" w:type="dxa"/>
          </w:tcPr>
          <w:p>
            <w:pPr>
              <w:jc w:val="center"/>
            </w:pPr>
            <w:r>
              <w:rPr>
                <w:b/>
                <w:color w:val="FFFFFF"/>
                <w:sz w:val="20"/>
              </w:rPr>
            </w:r>
            <w:r>
              <w:rPr>
                <w:b/>
                <w:color w:val="FFFFFF"/>
                <w:sz w:val="20"/>
              </w:rPr>
              <w:t>MAE</w:t>
            </w:r>
          </w:p>
        </w:tc>
        <w:tc>
          <w:tcPr>
            <w:tcW w:type="dxa" w:w="1440"/>
            <w:vAlign w:val="center"/>
            <w:tcW w:w="1872" w:type="dxa"/>
            <w:shd w:val="clear" w:color="auto" w:fill="1F3864"/>
            <w:tcW w:w="1872" w:type="dxa"/>
          </w:tcPr>
          <w:p>
            <w:pPr>
              <w:jc w:val="center"/>
            </w:pPr>
            <w:r>
              <w:rPr>
                <w:b/>
                <w:color w:val="FFFFFF"/>
                <w:sz w:val="20"/>
              </w:rPr>
            </w:r>
            <w:r>
              <w:rPr>
                <w:b/>
                <w:color w:val="FFFFFF"/>
                <w:sz w:val="20"/>
              </w:rPr>
              <w:t>RMSE</w:t>
            </w:r>
          </w:p>
        </w:tc>
        <w:tc>
          <w:tcPr>
            <w:tcW w:type="dxa" w:w="1440"/>
            <w:vAlign w:val="center"/>
            <w:tcW w:w="1007" w:type="dxa"/>
            <w:shd w:val="clear" w:color="auto" w:fill="1F3864"/>
            <w:tcW w:w="1007" w:type="dxa"/>
          </w:tcPr>
          <w:p>
            <w:pPr>
              <w:jc w:val="center"/>
            </w:pPr>
            <w:r>
              <w:rPr>
                <w:b/>
                <w:color w:val="FFFFFF"/>
                <w:sz w:val="20"/>
              </w:rPr>
            </w:r>
            <w:r>
              <w:rPr>
                <w:b/>
                <w:color w:val="FFFFFF"/>
                <w:sz w:val="20"/>
              </w:rPr>
              <w:t>R²</w:t>
            </w:r>
          </w:p>
        </w:tc>
      </w:tr>
      <w:tr>
        <w:tc>
          <w:tcPr>
            <w:tcW w:type="dxa" w:w="1440"/>
            <w:shd w:val="clear" w:color="auto" w:fill="DCE6F1"/>
            <w:vAlign w:val="center"/>
            <w:tcW w:w="1584" w:type="dxa"/>
          </w:tcPr>
          <w:p>
            <w:pPr>
              <w:jc w:val="left"/>
            </w:pPr>
            <w:r/>
            <w:r>
              <w:rPr>
                <w:b/>
                <w:sz w:val="20"/>
              </w:rPr>
              <w:t>Room Revenue</w:t>
            </w:r>
          </w:p>
        </w:tc>
        <w:tc>
          <w:tcPr>
            <w:tcW w:type="dxa" w:w="1440"/>
            <w:shd w:val="clear" w:color="auto" w:fill="FFFFFF"/>
            <w:vAlign w:val="center"/>
            <w:tcW w:w="3168" w:type="dxa"/>
          </w:tcPr>
          <w:p>
            <w:pPr>
              <w:jc w:val="left"/>
            </w:pPr>
            <w:r/>
            <w:r>
              <w:rPr>
                <w:b w:val="0"/>
                <w:sz w:val="20"/>
              </w:rPr>
              <w:t>Experience-Based YoY</w:t>
            </w:r>
          </w:p>
        </w:tc>
        <w:tc>
          <w:tcPr>
            <w:tcW w:type="dxa" w:w="1440"/>
            <w:shd w:val="clear" w:color="auto" w:fill="FFFFFF"/>
            <w:vAlign w:val="center"/>
            <w:tcW w:w="1296" w:type="dxa"/>
          </w:tcPr>
          <w:p>
            <w:pPr>
              <w:jc w:val="center"/>
            </w:pPr>
            <w:r/>
            <w:r>
              <w:rPr>
                <w:b w:val="0"/>
                <w:sz w:val="20"/>
              </w:rPr>
              <w:t>21.10%</w:t>
            </w:r>
          </w:p>
        </w:tc>
        <w:tc>
          <w:tcPr>
            <w:tcW w:type="dxa" w:w="1440"/>
            <w:shd w:val="clear" w:color="auto" w:fill="FFFFFF"/>
            <w:vAlign w:val="center"/>
            <w:tcW w:w="1872" w:type="dxa"/>
          </w:tcPr>
          <w:p>
            <w:pPr>
              <w:jc w:val="center"/>
            </w:pPr>
            <w:r/>
            <w:r>
              <w:rPr>
                <w:b w:val="0"/>
                <w:sz w:val="20"/>
              </w:rPr>
              <w:t>$8,788</w:t>
            </w:r>
          </w:p>
        </w:tc>
        <w:tc>
          <w:tcPr>
            <w:tcW w:type="dxa" w:w="1440"/>
            <w:shd w:val="clear" w:color="auto" w:fill="FFFFFF"/>
            <w:vAlign w:val="center"/>
            <w:tcW w:w="1872" w:type="dxa"/>
          </w:tcPr>
          <w:p>
            <w:pPr>
              <w:jc w:val="center"/>
            </w:pPr>
            <w:r/>
            <w:r>
              <w:rPr>
                <w:b w:val="0"/>
                <w:sz w:val="20"/>
              </w:rPr>
              <w:t>$12,729</w:t>
            </w:r>
          </w:p>
        </w:tc>
        <w:tc>
          <w:tcPr>
            <w:tcW w:type="dxa" w:w="1440"/>
            <w:shd w:val="clear" w:color="auto" w:fill="FFFFFF"/>
            <w:vAlign w:val="center"/>
            <w:tcW w:w="1007" w:type="dxa"/>
          </w:tcPr>
          <w:p>
            <w:pPr>
              <w:jc w:val="center"/>
            </w:pPr>
            <w:r/>
            <w:r>
              <w:rPr>
                <w:b w:val="0"/>
                <w:sz w:val="20"/>
              </w:rPr>
              <w:t>0.63</w:t>
            </w:r>
          </w:p>
        </w:tc>
      </w:tr>
      <w:tr>
        <w:tc>
          <w:tcPr>
            <w:tcW w:type="dxa" w:w="1440"/>
            <w:shd w:val="clear" w:color="auto" w:fill="DCE6F1"/>
            <w:tcW w:w="1584" w:type="dxa"/>
          </w:tcPr>
          <w:p>
            <w:r/>
          </w:p>
        </w:tc>
        <w:tc>
          <w:tcPr>
            <w:tcW w:type="dxa" w:w="1440"/>
            <w:shd w:val="clear" w:color="auto" w:fill="FFFFFF"/>
            <w:vAlign w:val="center"/>
            <w:tcW w:w="3168" w:type="dxa"/>
          </w:tcPr>
          <w:p>
            <w:pPr>
              <w:jc w:val="left"/>
            </w:pPr>
            <w:r/>
            <w:r>
              <w:rPr>
                <w:b/>
                <w:sz w:val="20"/>
              </w:rPr>
              <w:t>LightGBM Model</w:t>
            </w:r>
          </w:p>
        </w:tc>
        <w:tc>
          <w:tcPr>
            <w:tcW w:type="dxa" w:w="1440"/>
            <w:shd w:val="clear" w:color="auto" w:fill="FFFFFF"/>
            <w:vAlign w:val="center"/>
            <w:tcW w:w="1296" w:type="dxa"/>
          </w:tcPr>
          <w:p>
            <w:pPr>
              <w:jc w:val="center"/>
            </w:pPr>
            <w:r/>
            <w:r>
              <w:rPr>
                <w:b/>
                <w:sz w:val="20"/>
              </w:rPr>
              <w:t>7.76%</w:t>
            </w:r>
          </w:p>
        </w:tc>
        <w:tc>
          <w:tcPr>
            <w:tcW w:type="dxa" w:w="1440"/>
            <w:shd w:val="clear" w:color="auto" w:fill="FFFFFF"/>
            <w:vAlign w:val="center"/>
            <w:tcW w:w="1872" w:type="dxa"/>
          </w:tcPr>
          <w:p>
            <w:pPr>
              <w:jc w:val="center"/>
            </w:pPr>
            <w:r/>
            <w:r>
              <w:rPr>
                <w:b/>
                <w:sz w:val="20"/>
              </w:rPr>
              <w:t>$2,706</w:t>
            </w:r>
          </w:p>
        </w:tc>
        <w:tc>
          <w:tcPr>
            <w:tcW w:type="dxa" w:w="1440"/>
            <w:shd w:val="clear" w:color="auto" w:fill="FFFFFF"/>
            <w:vAlign w:val="center"/>
            <w:tcW w:w="1872" w:type="dxa"/>
          </w:tcPr>
          <w:p>
            <w:pPr>
              <w:jc w:val="center"/>
            </w:pPr>
            <w:r/>
            <w:r>
              <w:rPr>
                <w:b/>
                <w:sz w:val="20"/>
              </w:rPr>
              <w:t>$3,500</w:t>
            </w:r>
          </w:p>
        </w:tc>
        <w:tc>
          <w:tcPr>
            <w:tcW w:type="dxa" w:w="1440"/>
            <w:shd w:val="clear" w:color="auto" w:fill="FFFFFF"/>
            <w:vAlign w:val="center"/>
            <w:tcW w:w="1007" w:type="dxa"/>
          </w:tcPr>
          <w:p>
            <w:pPr>
              <w:jc w:val="center"/>
            </w:pPr>
            <w:r/>
            <w:r>
              <w:rPr>
                <w:b/>
                <w:sz w:val="20"/>
              </w:rPr>
              <w:t>0.97</w:t>
            </w:r>
          </w:p>
        </w:tc>
      </w:tr>
      <w:tr>
        <w:tc>
          <w:tcPr>
            <w:tcW w:type="dxa" w:w="1440"/>
            <w:shd w:val="clear" w:color="auto" w:fill="DCE6F1"/>
            <w:vAlign w:val="center"/>
            <w:tcW w:w="1584" w:type="dxa"/>
          </w:tcPr>
          <w:p>
            <w:pPr>
              <w:jc w:val="left"/>
            </w:pPr>
            <w:r/>
            <w:r>
              <w:rPr>
                <w:b/>
                <w:sz w:val="20"/>
              </w:rPr>
              <w:t>Occupancy Rate</w:t>
            </w:r>
          </w:p>
        </w:tc>
        <w:tc>
          <w:tcPr>
            <w:tcW w:type="dxa" w:w="1440"/>
            <w:shd w:val="clear" w:color="auto" w:fill="F2F7FB"/>
            <w:vAlign w:val="center"/>
            <w:tcW w:w="3168" w:type="dxa"/>
          </w:tcPr>
          <w:p>
            <w:pPr>
              <w:jc w:val="left"/>
            </w:pPr>
            <w:r/>
            <w:r>
              <w:rPr>
                <w:b w:val="0"/>
                <w:sz w:val="20"/>
              </w:rPr>
              <w:t>Experience-Based YoY</w:t>
            </w:r>
          </w:p>
        </w:tc>
        <w:tc>
          <w:tcPr>
            <w:tcW w:type="dxa" w:w="1440"/>
            <w:shd w:val="clear" w:color="auto" w:fill="F2F7FB"/>
            <w:vAlign w:val="center"/>
            <w:tcW w:w="1296" w:type="dxa"/>
          </w:tcPr>
          <w:p>
            <w:pPr>
              <w:jc w:val="center"/>
            </w:pPr>
            <w:r/>
            <w:r>
              <w:rPr>
                <w:b w:val="0"/>
                <w:sz w:val="20"/>
              </w:rPr>
              <w:t>15.54%</w:t>
            </w:r>
          </w:p>
        </w:tc>
        <w:tc>
          <w:tcPr>
            <w:tcW w:type="dxa" w:w="1440"/>
            <w:shd w:val="clear" w:color="auto" w:fill="F2F7FB"/>
            <w:vAlign w:val="center"/>
            <w:tcW w:w="1872" w:type="dxa"/>
          </w:tcPr>
          <w:p>
            <w:pPr>
              <w:jc w:val="center"/>
            </w:pPr>
            <w:r/>
            <w:r>
              <w:rPr>
                <w:b w:val="0"/>
                <w:sz w:val="20"/>
              </w:rPr>
              <w:t>13.2 pp</w:t>
            </w:r>
          </w:p>
        </w:tc>
        <w:tc>
          <w:tcPr>
            <w:tcW w:type="dxa" w:w="1440"/>
            <w:shd w:val="clear" w:color="auto" w:fill="F2F7FB"/>
            <w:vAlign w:val="center"/>
            <w:tcW w:w="1872" w:type="dxa"/>
          </w:tcPr>
          <w:p>
            <w:pPr>
              <w:jc w:val="center"/>
            </w:pPr>
            <w:r/>
            <w:r>
              <w:rPr>
                <w:b w:val="0"/>
                <w:sz w:val="20"/>
              </w:rPr>
              <w:t>17.7 pp</w:t>
            </w:r>
          </w:p>
        </w:tc>
        <w:tc>
          <w:tcPr>
            <w:tcW w:type="dxa" w:w="1440"/>
            <w:shd w:val="clear" w:color="auto" w:fill="F2F7FB"/>
            <w:vAlign w:val="center"/>
            <w:tcW w:w="1007" w:type="dxa"/>
          </w:tcPr>
          <w:p>
            <w:pPr>
              <w:jc w:val="center"/>
            </w:pPr>
            <w:r/>
            <w:r>
              <w:rPr>
                <w:b w:val="0"/>
                <w:sz w:val="20"/>
              </w:rPr>
              <w:t>−0.96</w:t>
            </w:r>
          </w:p>
        </w:tc>
      </w:tr>
      <w:tr>
        <w:tc>
          <w:tcPr>
            <w:tcW w:type="dxa" w:w="1440"/>
            <w:shd w:val="clear" w:color="auto" w:fill="DCE6F1"/>
            <w:tcW w:w="1584" w:type="dxa"/>
          </w:tcPr>
          <w:p>
            <w:r/>
          </w:p>
        </w:tc>
        <w:tc>
          <w:tcPr>
            <w:tcW w:type="dxa" w:w="1440"/>
            <w:shd w:val="clear" w:color="auto" w:fill="F2F7FB"/>
            <w:vAlign w:val="center"/>
            <w:tcW w:w="3168" w:type="dxa"/>
          </w:tcPr>
          <w:p>
            <w:pPr>
              <w:jc w:val="left"/>
            </w:pPr>
            <w:r/>
            <w:r>
              <w:rPr>
                <w:b/>
                <w:sz w:val="20"/>
              </w:rPr>
              <w:t>LightGBM Model</w:t>
            </w:r>
          </w:p>
        </w:tc>
        <w:tc>
          <w:tcPr>
            <w:tcW w:type="dxa" w:w="1440"/>
            <w:shd w:val="clear" w:color="auto" w:fill="F2F7FB"/>
            <w:vAlign w:val="center"/>
            <w:tcW w:w="1296" w:type="dxa"/>
          </w:tcPr>
          <w:p>
            <w:pPr>
              <w:jc w:val="center"/>
            </w:pPr>
            <w:r/>
            <w:r>
              <w:rPr>
                <w:b/>
                <w:sz w:val="20"/>
              </w:rPr>
              <w:t>5.71%</w:t>
            </w:r>
          </w:p>
        </w:tc>
        <w:tc>
          <w:tcPr>
            <w:tcW w:type="dxa" w:w="1440"/>
            <w:shd w:val="clear" w:color="auto" w:fill="F2F7FB"/>
            <w:vAlign w:val="center"/>
            <w:tcW w:w="1872" w:type="dxa"/>
          </w:tcPr>
          <w:p>
            <w:pPr>
              <w:jc w:val="center"/>
            </w:pPr>
            <w:r/>
            <w:r>
              <w:rPr>
                <w:b/>
                <w:sz w:val="20"/>
              </w:rPr>
              <w:t>4.5 pp</w:t>
            </w:r>
          </w:p>
        </w:tc>
        <w:tc>
          <w:tcPr>
            <w:tcW w:type="dxa" w:w="1440"/>
            <w:shd w:val="clear" w:color="auto" w:fill="F2F7FB"/>
            <w:vAlign w:val="center"/>
            <w:tcW w:w="1872" w:type="dxa"/>
          </w:tcPr>
          <w:p>
            <w:pPr>
              <w:jc w:val="center"/>
            </w:pPr>
            <w:r/>
            <w:r>
              <w:rPr>
                <w:b/>
                <w:sz w:val="20"/>
              </w:rPr>
              <w:t>5.9 pp</w:t>
            </w:r>
          </w:p>
        </w:tc>
        <w:tc>
          <w:tcPr>
            <w:tcW w:type="dxa" w:w="1440"/>
            <w:shd w:val="clear" w:color="auto" w:fill="F2F7FB"/>
            <w:vAlign w:val="center"/>
            <w:tcW w:w="1007" w:type="dxa"/>
          </w:tcPr>
          <w:p>
            <w:pPr>
              <w:jc w:val="center"/>
            </w:pPr>
            <w:r/>
            <w:r>
              <w:rPr>
                <w:b/>
                <w:sz w:val="20"/>
              </w:rPr>
              <w:t>0.78</w:t>
            </w:r>
          </w:p>
        </w:tc>
      </w:tr>
      <w:tr>
        <w:tc>
          <w:tcPr>
            <w:tcW w:type="dxa" w:w="1440"/>
            <w:shd w:val="clear" w:color="auto" w:fill="DCE6F1"/>
            <w:vAlign w:val="center"/>
            <w:tcW w:w="1584" w:type="dxa"/>
          </w:tcPr>
          <w:p>
            <w:pPr>
              <w:jc w:val="left"/>
            </w:pPr>
            <w:r/>
            <w:r>
              <w:rPr>
                <w:b/>
                <w:sz w:val="20"/>
              </w:rPr>
              <w:t>ADR</w:t>
            </w:r>
          </w:p>
        </w:tc>
        <w:tc>
          <w:tcPr>
            <w:tcW w:type="dxa" w:w="1440"/>
            <w:shd w:val="clear" w:color="auto" w:fill="FFFFFF"/>
            <w:vAlign w:val="center"/>
            <w:tcW w:w="3168" w:type="dxa"/>
          </w:tcPr>
          <w:p>
            <w:pPr>
              <w:jc w:val="left"/>
            </w:pPr>
            <w:r/>
            <w:r>
              <w:rPr>
                <w:b w:val="0"/>
                <w:sz w:val="20"/>
              </w:rPr>
              <w:t>Experience-Based YoY</w:t>
            </w:r>
          </w:p>
        </w:tc>
        <w:tc>
          <w:tcPr>
            <w:tcW w:type="dxa" w:w="1440"/>
            <w:shd w:val="clear" w:color="auto" w:fill="FFFFFF"/>
            <w:vAlign w:val="center"/>
            <w:tcW w:w="1296" w:type="dxa"/>
          </w:tcPr>
          <w:p>
            <w:pPr>
              <w:jc w:val="center"/>
            </w:pPr>
            <w:r/>
            <w:r>
              <w:rPr>
                <w:b w:val="0"/>
                <w:sz w:val="20"/>
              </w:rPr>
              <w:t>15.10%</w:t>
            </w:r>
          </w:p>
        </w:tc>
        <w:tc>
          <w:tcPr>
            <w:tcW w:type="dxa" w:w="1440"/>
            <w:shd w:val="clear" w:color="auto" w:fill="FFFFFF"/>
            <w:vAlign w:val="center"/>
            <w:tcW w:w="1872" w:type="dxa"/>
          </w:tcPr>
          <w:p>
            <w:pPr>
              <w:jc w:val="center"/>
            </w:pPr>
            <w:r/>
            <w:r>
              <w:rPr>
                <w:b w:val="0"/>
                <w:sz w:val="20"/>
              </w:rPr>
              <w:t>$49.00</w:t>
            </w:r>
          </w:p>
        </w:tc>
        <w:tc>
          <w:tcPr>
            <w:tcW w:type="dxa" w:w="1440"/>
            <w:shd w:val="clear" w:color="auto" w:fill="FFFFFF"/>
            <w:vAlign w:val="center"/>
            <w:tcW w:w="1872" w:type="dxa"/>
          </w:tcPr>
          <w:p>
            <w:pPr>
              <w:jc w:val="center"/>
            </w:pPr>
            <w:r/>
            <w:r>
              <w:rPr>
                <w:b w:val="0"/>
                <w:sz w:val="20"/>
              </w:rPr>
              <w:t>$65.04</w:t>
            </w:r>
          </w:p>
        </w:tc>
        <w:tc>
          <w:tcPr>
            <w:tcW w:type="dxa" w:w="1440"/>
            <w:shd w:val="clear" w:color="auto" w:fill="FFFFFF"/>
            <w:vAlign w:val="center"/>
            <w:tcW w:w="1007" w:type="dxa"/>
          </w:tcPr>
          <w:p>
            <w:pPr>
              <w:jc w:val="center"/>
            </w:pPr>
            <w:r/>
            <w:r>
              <w:rPr>
                <w:b w:val="0"/>
                <w:sz w:val="20"/>
              </w:rPr>
              <w:t>0.74</w:t>
            </w:r>
          </w:p>
        </w:tc>
      </w:tr>
      <w:tr>
        <w:tc>
          <w:tcPr>
            <w:tcW w:type="dxa" w:w="1440"/>
            <w:shd w:val="clear" w:color="auto" w:fill="DCE6F1"/>
            <w:tcW w:w="1584" w:type="dxa"/>
          </w:tcPr>
          <w:p>
            <w:r/>
          </w:p>
        </w:tc>
        <w:tc>
          <w:tcPr>
            <w:tcW w:type="dxa" w:w="1440"/>
            <w:shd w:val="clear" w:color="auto" w:fill="FFFFFF"/>
            <w:vAlign w:val="center"/>
            <w:tcW w:w="3168" w:type="dxa"/>
          </w:tcPr>
          <w:p>
            <w:pPr>
              <w:jc w:val="left"/>
            </w:pPr>
            <w:r/>
            <w:r>
              <w:rPr>
                <w:b/>
                <w:sz w:val="20"/>
              </w:rPr>
              <w:t>LightGBM Model</w:t>
            </w:r>
          </w:p>
        </w:tc>
        <w:tc>
          <w:tcPr>
            <w:tcW w:type="dxa" w:w="1440"/>
            <w:shd w:val="clear" w:color="auto" w:fill="FFFFFF"/>
            <w:vAlign w:val="center"/>
            <w:tcW w:w="1296" w:type="dxa"/>
          </w:tcPr>
          <w:p>
            <w:pPr>
              <w:jc w:val="center"/>
            </w:pPr>
            <w:r/>
            <w:r>
              <w:rPr>
                <w:b/>
                <w:sz w:val="20"/>
              </w:rPr>
              <w:t>5.44%</w:t>
            </w:r>
          </w:p>
        </w:tc>
        <w:tc>
          <w:tcPr>
            <w:tcW w:type="dxa" w:w="1440"/>
            <w:shd w:val="clear" w:color="auto" w:fill="FFFFFF"/>
            <w:vAlign w:val="center"/>
            <w:tcW w:w="1872" w:type="dxa"/>
          </w:tcPr>
          <w:p>
            <w:pPr>
              <w:jc w:val="center"/>
            </w:pPr>
            <w:r/>
            <w:r>
              <w:rPr>
                <w:b/>
                <w:sz w:val="20"/>
              </w:rPr>
              <w:t>$16.91</w:t>
            </w:r>
          </w:p>
        </w:tc>
        <w:tc>
          <w:tcPr>
            <w:tcW w:type="dxa" w:w="1440"/>
            <w:shd w:val="clear" w:color="auto" w:fill="FFFFFF"/>
            <w:vAlign w:val="center"/>
            <w:tcW w:w="1872" w:type="dxa"/>
          </w:tcPr>
          <w:p>
            <w:pPr>
              <w:jc w:val="center"/>
            </w:pPr>
            <w:r/>
            <w:r>
              <w:rPr>
                <w:b/>
                <w:sz w:val="20"/>
              </w:rPr>
              <w:t>$21.52</w:t>
            </w:r>
          </w:p>
        </w:tc>
        <w:tc>
          <w:tcPr>
            <w:tcW w:type="dxa" w:w="1440"/>
            <w:shd w:val="clear" w:color="auto" w:fill="FFFFFF"/>
            <w:vAlign w:val="center"/>
            <w:tcW w:w="1007" w:type="dxa"/>
          </w:tcPr>
          <w:p>
            <w:pPr>
              <w:jc w:val="center"/>
            </w:pPr>
            <w:r/>
            <w:r>
              <w:rPr>
                <w:b/>
                <w:sz w:val="20"/>
              </w:rPr>
              <w:t>0.97</w:t>
            </w:r>
          </w:p>
        </w:tc>
      </w:tr>
      <w:tr>
        <w:tc>
          <w:tcPr>
            <w:tcW w:type="dxa" w:w="1440"/>
            <w:shd w:val="clear" w:color="auto" w:fill="DCE6F1"/>
            <w:vAlign w:val="center"/>
            <w:tcW w:w="1584" w:type="dxa"/>
          </w:tcPr>
          <w:p>
            <w:pPr>
              <w:jc w:val="left"/>
            </w:pPr>
            <w:r/>
            <w:r>
              <w:rPr>
                <w:b/>
                <w:sz w:val="20"/>
              </w:rPr>
              <w:t>RevPAR</w:t>
            </w:r>
          </w:p>
        </w:tc>
        <w:tc>
          <w:tcPr>
            <w:tcW w:type="dxa" w:w="1440"/>
            <w:shd w:val="clear" w:color="auto" w:fill="F2F7FB"/>
            <w:vAlign w:val="center"/>
            <w:tcW w:w="3168" w:type="dxa"/>
          </w:tcPr>
          <w:p>
            <w:pPr>
              <w:jc w:val="left"/>
            </w:pPr>
            <w:r/>
            <w:r>
              <w:rPr>
                <w:b w:val="0"/>
                <w:sz w:val="20"/>
              </w:rPr>
              <w:t>Experience-Based YoY</w:t>
            </w:r>
          </w:p>
        </w:tc>
        <w:tc>
          <w:tcPr>
            <w:tcW w:type="dxa" w:w="1440"/>
            <w:shd w:val="clear" w:color="auto" w:fill="F2F7FB"/>
            <w:vAlign w:val="center"/>
            <w:tcW w:w="1296" w:type="dxa"/>
          </w:tcPr>
          <w:p>
            <w:pPr>
              <w:jc w:val="center"/>
            </w:pPr>
            <w:r/>
            <w:r>
              <w:rPr>
                <w:b w:val="0"/>
                <w:sz w:val="20"/>
              </w:rPr>
              <w:t>21.22%</w:t>
            </w:r>
          </w:p>
        </w:tc>
        <w:tc>
          <w:tcPr>
            <w:tcW w:type="dxa" w:w="1440"/>
            <w:shd w:val="clear" w:color="auto" w:fill="F2F7FB"/>
            <w:vAlign w:val="center"/>
            <w:tcW w:w="1872" w:type="dxa"/>
          </w:tcPr>
          <w:p>
            <w:pPr>
              <w:jc w:val="center"/>
            </w:pPr>
            <w:r/>
            <w:r>
              <w:rPr>
                <w:b w:val="0"/>
                <w:sz w:val="20"/>
              </w:rPr>
              <w:t>$62.11</w:t>
            </w:r>
          </w:p>
        </w:tc>
        <w:tc>
          <w:tcPr>
            <w:tcW w:type="dxa" w:w="1440"/>
            <w:shd w:val="clear" w:color="auto" w:fill="F2F7FB"/>
            <w:vAlign w:val="center"/>
            <w:tcW w:w="1872" w:type="dxa"/>
          </w:tcPr>
          <w:p>
            <w:pPr>
              <w:jc w:val="center"/>
            </w:pPr>
            <w:r/>
            <w:r>
              <w:rPr>
                <w:b w:val="0"/>
                <w:sz w:val="20"/>
              </w:rPr>
              <w:t>$88.93</w:t>
            </w:r>
          </w:p>
        </w:tc>
        <w:tc>
          <w:tcPr>
            <w:tcW w:type="dxa" w:w="1440"/>
            <w:shd w:val="clear" w:color="auto" w:fill="F2F7FB"/>
            <w:vAlign w:val="center"/>
            <w:tcW w:w="1007" w:type="dxa"/>
          </w:tcPr>
          <w:p>
            <w:pPr>
              <w:jc w:val="center"/>
            </w:pPr>
            <w:r/>
            <w:r>
              <w:rPr>
                <w:b w:val="0"/>
                <w:sz w:val="20"/>
              </w:rPr>
              <w:t>0.62</w:t>
            </w:r>
          </w:p>
        </w:tc>
      </w:tr>
      <w:tr>
        <w:tc>
          <w:tcPr>
            <w:tcW w:type="dxa" w:w="1440"/>
            <w:shd w:val="clear" w:color="auto" w:fill="DCE6F1"/>
            <w:tcW w:w="1584" w:type="dxa"/>
          </w:tcPr>
          <w:p>
            <w:r/>
          </w:p>
        </w:tc>
        <w:tc>
          <w:tcPr>
            <w:tcW w:type="dxa" w:w="1440"/>
            <w:shd w:val="clear" w:color="auto" w:fill="F2F7FB"/>
            <w:vAlign w:val="center"/>
            <w:tcW w:w="3168" w:type="dxa"/>
          </w:tcPr>
          <w:p>
            <w:pPr>
              <w:jc w:val="left"/>
            </w:pPr>
            <w:r/>
            <w:r>
              <w:rPr>
                <w:b/>
                <w:sz w:val="20"/>
              </w:rPr>
              <w:t>LightGBM Model</w:t>
            </w:r>
          </w:p>
        </w:tc>
        <w:tc>
          <w:tcPr>
            <w:tcW w:type="dxa" w:w="1440"/>
            <w:shd w:val="clear" w:color="auto" w:fill="F2F7FB"/>
            <w:vAlign w:val="center"/>
            <w:tcW w:w="1296" w:type="dxa"/>
          </w:tcPr>
          <w:p>
            <w:pPr>
              <w:jc w:val="center"/>
            </w:pPr>
            <w:r/>
            <w:r>
              <w:rPr>
                <w:b/>
                <w:sz w:val="20"/>
              </w:rPr>
              <w:t>8.48%</w:t>
            </w:r>
          </w:p>
        </w:tc>
        <w:tc>
          <w:tcPr>
            <w:tcW w:type="dxa" w:w="1440"/>
            <w:shd w:val="clear" w:color="auto" w:fill="F2F7FB"/>
            <w:vAlign w:val="center"/>
            <w:tcW w:w="1872" w:type="dxa"/>
          </w:tcPr>
          <w:p>
            <w:pPr>
              <w:jc w:val="center"/>
            </w:pPr>
            <w:r/>
            <w:r>
              <w:rPr>
                <w:b/>
                <w:sz w:val="20"/>
              </w:rPr>
              <w:t>$20.26</w:t>
            </w:r>
          </w:p>
        </w:tc>
        <w:tc>
          <w:tcPr>
            <w:tcW w:type="dxa" w:w="1440"/>
            <w:shd w:val="clear" w:color="auto" w:fill="F2F7FB"/>
            <w:vAlign w:val="center"/>
            <w:tcW w:w="1872" w:type="dxa"/>
          </w:tcPr>
          <w:p>
            <w:pPr>
              <w:jc w:val="center"/>
            </w:pPr>
            <w:r/>
            <w:r>
              <w:rPr>
                <w:b/>
                <w:sz w:val="20"/>
              </w:rPr>
              <w:t>$26.17</w:t>
            </w:r>
          </w:p>
        </w:tc>
        <w:tc>
          <w:tcPr>
            <w:tcW w:type="dxa" w:w="1440"/>
            <w:shd w:val="clear" w:color="auto" w:fill="F2F7FB"/>
            <w:vAlign w:val="center"/>
            <w:tcW w:w="1007" w:type="dxa"/>
          </w:tcPr>
          <w:p>
            <w:pPr>
              <w:jc w:val="center"/>
            </w:pPr>
            <w:r/>
            <w:r>
              <w:rPr>
                <w:b/>
                <w:sz w:val="20"/>
              </w:rPr>
              <w:t>0.97</w:t>
            </w:r>
          </w:p>
        </w:tc>
      </w:tr>
    </w:tbl>
    <w:p/>
    <w:p>
      <w:r>
        <w:rPr>
          <w:i/>
          <w:sz w:val="18"/>
        </w:rPr>
        <w:t>Note: MAPE = Mean Absolute Percentage Error; MAE = Mean Absolute Error; RMSE = Root Mean Squared Error; R² = coefficient of determination. Occupancy MAE and RMSE expressed in percentage points (pp). LightGBM results are bolded. YoY growth factors applied: Revenue +8.2%, Occupancy +1.8%, ADR +1.7%, RevPAR +3.7% (Jan–Oct 2025 vs. Jan–Oct 2024 YTD).</w:t>
      </w:r>
    </w:p>
    <w:p/>
    <w:p/>
    <w:p>
      <w:pPr>
        <w:pStyle w:val="Heading2"/>
      </w:pPr>
      <w:r>
        <w:rPr>
          <w:color w:val="1F3864"/>
        </w:rPr>
        <w:t>Results</w:t>
      </w:r>
    </w:p>
    <w:p>
      <w:r>
        <w:rPr>
          <w:b/>
          <w:sz w:val="22"/>
        </w:rPr>
        <w:t xml:space="preserve">Room Revenue — 65% error reduction. </w:t>
      </w:r>
      <w:r>
        <w:rPr>
          <w:sz w:val="22"/>
        </w:rPr>
        <w:t>The LightGBM revenue model achieved a MAPE of 7.76% against the 61-day holdout, compared to 21.10% for the experience-based YoY forecast — a 63.2% reduction in percentage error. In absolute terms, the ML model's average daily error was $2,706 versus $8,788 for the YoY approach. The R² of 0.97 confirms that the model explains nearly all day-level variance in revenue, while the YoY R² of 0.63 reflects the considerable residual noise left unexplained by prior-year patterns alone. The ML model captures signals — real-time booking pace, competitive rate dynamics, event proximity — that a flat growth multiplier cannot replicate.</w:t>
      </w:r>
    </w:p>
    <w:p>
      <w:r>
        <w:rPr>
          <w:b/>
          <w:sz w:val="22"/>
        </w:rPr>
        <w:t xml:space="preserve">Occupancy Rate — largest absolute gap. </w:t>
      </w:r>
      <w:r>
        <w:rPr>
          <w:sz w:val="22"/>
        </w:rPr>
        <w:t>Occupancy is the hardest KPI for a YoY approach because day-level occupancy is highly sensitive to short-term booking behaviour. The experience-based forecast yielded a MAPE of 15.54% and a negative R² of −0.96, indicating the YoY projection was less accurate than simply predicting the mean. The LightGBM model reduced MAPE to 5.71% and achieved an R² of 0.78, capturing the pickup curve and cancellation dynamics that characterise Arlo's booking window.</w:t>
      </w:r>
    </w:p>
    <w:p>
      <w:r>
        <w:rPr>
          <w:b/>
          <w:sz w:val="22"/>
        </w:rPr>
        <w:t xml:space="preserve">ADR — closest gap, but ML still wins. </w:t>
      </w:r>
      <w:r>
        <w:rPr>
          <w:sz w:val="22"/>
        </w:rPr>
        <w:t>ADR is the KPI where experience-based forecasting performs best relative to the ML model, because rates in a given period are partially anchored to prior-year rate levels. Even so, the LightGBM ADR model (MAPE 5.44%, R² 0.97) improved over the YoY baseline (MAPE 15.10%, R² 0.74) by 64.0%. The model incorporates real-time competitive rate signals through STR index lags and ADR gap vs. comp set features, giving it visibility into market positioning that a YoY trend adjustment cannot provide.</w:t>
      </w:r>
    </w:p>
    <w:p>
      <w:r>
        <w:rPr>
          <w:b/>
          <w:sz w:val="22"/>
        </w:rPr>
        <w:t xml:space="preserve">RevPAR — strongest thesis conclusion. </w:t>
      </w:r>
      <w:r>
        <w:rPr>
          <w:sz w:val="22"/>
        </w:rPr>
        <w:t>RevPAR is the single metric that captures rate and volume performance simultaneously, making it the most strategically important forecast. The experience-based YoY approach yielded a MAPE of 21.22% and R² of 0.62 for RevPAR — comparable to its revenue performance and reflecting the compounding effect of occupancy and rate forecast error. The LightGBM RevPAR model, trained directly on daily RevPAR as a target variable, achieved a MAPE of 8.48% and R² of 0.97, a 60.0% error reduction. This result confirms that a direct ML forecast of RevPAR — rather than deriving it from separate occupancy and ADR projections — is both feasible and materially more accurate than the best available manual baseline.</w:t>
      </w:r>
    </w:p>
    <w:p/>
    <w:p>
      <w:pPr>
        <w:pStyle w:val="Heading2"/>
      </w:pPr>
      <w:r>
        <w:rPr>
          <w:color w:val="1F3864"/>
        </w:rPr>
        <w:t>Conclusion</w:t>
      </w:r>
    </w:p>
    <w:p>
      <w:r>
        <w:rPr>
          <w:sz w:val="22"/>
        </w:rPr>
        <w:t>Across all four key performance indicators, the LightGBM model substantially outperformed the experience-based year-over-year forecast on the held-out November–December 2025 test period. The ML framework reduced average MAPE by 62.6% relative to the best available manual baseline, while consistently achieving R² values above 0.97 for revenue, ADR, and RevPAR. These results directly answer the central research question: a machine learning model trained on booking behaviour, competitive positioning, and demand signals generates materially more accurate short-horizon hotel revenue forecasts than the experienced team's year-over-year projection method — across every KPI and every sub-period of the test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