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Updated Results Tables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ADC9D9"/>
            <w:tcBorders>
              <w:top w:val="single" w:sz="4" w:space="0" w:color="999999"/>
              <w:left w:val="single" w:sz="4" w:space="0" w:color="999999"/>
              <w:bottom w:val="single" w:sz="4" w:space="0" w:color="999999"/>
              <w:right w:val="single" w:sz="4" w:space="0" w:color="999999"/>
            </w:tcBorders>
          </w:tcPr>
          <w:p>
            <w:pPr>
              <w:jc w:val="center"/>
            </w:pPr>
            <w:r>
              <w:rPr>
                <w:b/>
                <w:sz w:val="20"/>
              </w:rPr>
              <w:t>KPI</w:t>
            </w:r>
          </w:p>
        </w:tc>
        <w:tc>
          <w:tcPr>
            <w:tcW w:type="dxa" w:w="1728"/>
            <w:shd w:val="clear" w:color="auto" w:fill="ADC9D9"/>
            <w:tcBorders>
              <w:top w:val="single" w:sz="4" w:space="0" w:color="999999"/>
              <w:left w:val="single" w:sz="4" w:space="0" w:color="999999"/>
              <w:bottom w:val="single" w:sz="4" w:space="0" w:color="999999"/>
              <w:right w:val="single" w:sz="4" w:space="0" w:color="999999"/>
            </w:tcBorders>
          </w:tcPr>
          <w:p>
            <w:pPr>
              <w:jc w:val="center"/>
            </w:pPr>
            <w:r>
              <w:rPr>
                <w:b/>
                <w:sz w:val="20"/>
              </w:rPr>
              <w:t>MAPE</w:t>
            </w:r>
          </w:p>
        </w:tc>
        <w:tc>
          <w:tcPr>
            <w:tcW w:type="dxa" w:w="1728"/>
            <w:shd w:val="clear" w:color="auto" w:fill="ADC9D9"/>
            <w:tcBorders>
              <w:top w:val="single" w:sz="4" w:space="0" w:color="999999"/>
              <w:left w:val="single" w:sz="4" w:space="0" w:color="999999"/>
              <w:bottom w:val="single" w:sz="4" w:space="0" w:color="999999"/>
              <w:right w:val="single" w:sz="4" w:space="0" w:color="999999"/>
            </w:tcBorders>
          </w:tcPr>
          <w:p>
            <w:pPr>
              <w:jc w:val="center"/>
            </w:pPr>
            <w:r>
              <w:rPr>
                <w:b/>
                <w:sz w:val="20"/>
              </w:rPr>
              <w:t>MAE</w:t>
            </w:r>
          </w:p>
        </w:tc>
        <w:tc>
          <w:tcPr>
            <w:tcW w:type="dxa" w:w="1728"/>
            <w:shd w:val="clear" w:color="auto" w:fill="ADC9D9"/>
            <w:tcBorders>
              <w:top w:val="single" w:sz="4" w:space="0" w:color="999999"/>
              <w:left w:val="single" w:sz="4" w:space="0" w:color="999999"/>
              <w:bottom w:val="single" w:sz="4" w:space="0" w:color="999999"/>
              <w:right w:val="single" w:sz="4" w:space="0" w:color="999999"/>
            </w:tcBorders>
          </w:tcPr>
          <w:p>
            <w:pPr>
              <w:jc w:val="center"/>
            </w:pPr>
            <w:r>
              <w:rPr>
                <w:b/>
                <w:sz w:val="20"/>
              </w:rPr>
              <w:t>RMSE</w:t>
            </w:r>
          </w:p>
        </w:tc>
        <w:tc>
          <w:tcPr>
            <w:tcW w:type="dxa" w:w="1728"/>
            <w:shd w:val="clear" w:color="auto" w:fill="ADC9D9"/>
            <w:tcBorders>
              <w:top w:val="single" w:sz="4" w:space="0" w:color="999999"/>
              <w:left w:val="single" w:sz="4" w:space="0" w:color="999999"/>
              <w:bottom w:val="single" w:sz="4" w:space="0" w:color="999999"/>
              <w:right w:val="single" w:sz="4" w:space="0" w:color="999999"/>
            </w:tcBorders>
          </w:tcPr>
          <w:p>
            <w:pPr>
              <w:jc w:val="center"/>
            </w:pPr>
            <w:r>
              <w:rPr>
                <w:b/>
                <w:sz w:val="20"/>
              </w:rPr>
              <w:t>R²</w:t>
            </w:r>
          </w:p>
        </w:tc>
      </w:tr>
      <w:tr>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Room Revenue</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7.76%</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$2,734.67</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$3,495.49</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0.9723</w:t>
            </w:r>
          </w:p>
        </w:tc>
      </w:tr>
      <w:tr>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Occupancy Rate</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5.71%</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3.1 pp</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4.4 pp</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0.7823</w:t>
            </w:r>
          </w:p>
        </w:tc>
      </w:tr>
      <w:tr>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ADR</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5.44%</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$15.82</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$21.47</w:t>
            </w:r>
          </w:p>
        </w:tc>
        <w:tc>
          <w:tcPr>
            <w:tcW w:type="dxa" w:w="1728"/>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0.9717</w:t>
            </w:r>
          </w:p>
        </w:tc>
      </w:tr>
      <w:tr>
        <w:tc>
          <w:tcPr>
            <w:tcW w:type="dxa" w:w="1728"/>
            <w:tcBorders>
              <w:top w:val="single" w:sz="4" w:space="0" w:color="999999"/>
              <w:left w:val="single" w:sz="4" w:space="0" w:color="999999"/>
              <w:bottom w:val="single" w:sz="4" w:space="0" w:color="999999"/>
              <w:right w:val="single" w:sz="4" w:space="0" w:color="999999"/>
            </w:tcBorders>
            <w:shd w:val="clear" w:color="auto" w:fill="E8F4F8"/>
          </w:tcPr>
          <w:p>
            <w:pPr>
              <w:jc w:val="center"/>
            </w:pPr>
            <w:r>
              <w:rPr>
                <w:b/>
                <w:sz w:val="20"/>
              </w:rPr>
              <w:t>RevPAR</w:t>
            </w:r>
          </w:p>
        </w:tc>
        <w:tc>
          <w:tcPr>
            <w:tcW w:type="dxa" w:w="1728"/>
            <w:tcBorders>
              <w:top w:val="single" w:sz="4" w:space="0" w:color="999999"/>
              <w:left w:val="single" w:sz="4" w:space="0" w:color="999999"/>
              <w:bottom w:val="single" w:sz="4" w:space="0" w:color="999999"/>
              <w:right w:val="single" w:sz="4" w:space="0" w:color="999999"/>
            </w:tcBorders>
            <w:shd w:val="clear" w:color="auto" w:fill="E8F4F8"/>
          </w:tcPr>
          <w:p>
            <w:pPr>
              <w:jc w:val="center"/>
            </w:pPr>
            <w:r>
              <w:rPr>
                <w:b/>
                <w:sz w:val="20"/>
              </w:rPr>
              <w:t>8.48%</w:t>
            </w:r>
          </w:p>
        </w:tc>
        <w:tc>
          <w:tcPr>
            <w:tcW w:type="dxa" w:w="1728"/>
            <w:tcBorders>
              <w:top w:val="single" w:sz="4" w:space="0" w:color="999999"/>
              <w:left w:val="single" w:sz="4" w:space="0" w:color="999999"/>
              <w:bottom w:val="single" w:sz="4" w:space="0" w:color="999999"/>
              <w:right w:val="single" w:sz="4" w:space="0" w:color="999999"/>
            </w:tcBorders>
            <w:shd w:val="clear" w:color="auto" w:fill="E8F4F8"/>
          </w:tcPr>
          <w:p>
            <w:pPr>
              <w:jc w:val="center"/>
            </w:pPr>
            <w:r>
              <w:rPr>
                <w:b/>
                <w:sz w:val="20"/>
              </w:rPr>
              <w:t>$20.26</w:t>
            </w:r>
          </w:p>
        </w:tc>
        <w:tc>
          <w:tcPr>
            <w:tcW w:type="dxa" w:w="1728"/>
            <w:tcBorders>
              <w:top w:val="single" w:sz="4" w:space="0" w:color="999999"/>
              <w:left w:val="single" w:sz="4" w:space="0" w:color="999999"/>
              <w:bottom w:val="single" w:sz="4" w:space="0" w:color="999999"/>
              <w:right w:val="single" w:sz="4" w:space="0" w:color="999999"/>
            </w:tcBorders>
            <w:shd w:val="clear" w:color="auto" w:fill="E8F4F8"/>
          </w:tcPr>
          <w:p>
            <w:pPr>
              <w:jc w:val="center"/>
            </w:pPr>
            <w:r>
              <w:rPr>
                <w:b/>
                <w:sz w:val="20"/>
              </w:rPr>
              <w:t>$26.17</w:t>
            </w:r>
          </w:p>
        </w:tc>
        <w:tc>
          <w:tcPr>
            <w:tcW w:type="dxa" w:w="1728"/>
            <w:tcBorders>
              <w:top w:val="single" w:sz="4" w:space="0" w:color="999999"/>
              <w:left w:val="single" w:sz="4" w:space="0" w:color="999999"/>
              <w:bottom w:val="single" w:sz="4" w:space="0" w:color="999999"/>
              <w:right w:val="single" w:sz="4" w:space="0" w:color="999999"/>
            </w:tcBorders>
            <w:shd w:val="clear" w:color="auto" w:fill="E8F4F8"/>
          </w:tcPr>
          <w:p>
            <w:pPr>
              <w:jc w:val="center"/>
            </w:pPr>
            <w:r>
              <w:rPr>
                <w:b/>
                <w:sz w:val="20"/>
              </w:rPr>
              <w:t>0.9675</w:t>
            </w:r>
          </w:p>
        </w:tc>
      </w:tr>
    </w:tbl>
    <w:p>
      <w:pPr>
        <w:spacing w:after="280"/>
        <w:jc w:val="center"/>
      </w:pPr>
      <w:r>
        <w:rPr>
          <w:i/>
          <w:color w:val="404040"/>
          <w:sz w:val="18"/>
        </w:rPr>
        <w:t>Table 10: Model Accuracy on 61-Days (Nov–Dec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ADC9D9"/>
            <w:tcBorders>
              <w:top w:val="single" w:sz="4" w:space="0" w:color="999999"/>
              <w:left w:val="single" w:sz="4" w:space="0" w:color="999999"/>
              <w:bottom w:val="single" w:sz="4" w:space="0" w:color="999999"/>
              <w:right w:val="single" w:sz="4" w:space="0" w:color="999999"/>
            </w:tcBorders>
          </w:tcPr>
          <w:p>
            <w:pPr>
              <w:jc w:val="center"/>
            </w:pPr>
            <w:r>
              <w:rPr>
                <w:b/>
                <w:sz w:val="20"/>
              </w:rPr>
              <w:t>Metric</w:t>
            </w:r>
          </w:p>
        </w:tc>
        <w:tc>
          <w:tcPr>
            <w:tcW w:type="dxa" w:w="2160"/>
            <w:shd w:val="clear" w:color="auto" w:fill="ADC9D9"/>
            <w:tcBorders>
              <w:top w:val="single" w:sz="4" w:space="0" w:color="999999"/>
              <w:left w:val="single" w:sz="4" w:space="0" w:color="999999"/>
              <w:bottom w:val="single" w:sz="4" w:space="0" w:color="999999"/>
              <w:right w:val="single" w:sz="4" w:space="0" w:color="999999"/>
            </w:tcBorders>
          </w:tcPr>
          <w:p>
            <w:pPr>
              <w:jc w:val="center"/>
            </w:pPr>
            <w:r>
              <w:rPr>
                <w:b/>
                <w:sz w:val="20"/>
              </w:rPr>
              <w:t>Actual</w:t>
            </w:r>
          </w:p>
        </w:tc>
        <w:tc>
          <w:tcPr>
            <w:tcW w:type="dxa" w:w="2160"/>
            <w:shd w:val="clear" w:color="auto" w:fill="ADC9D9"/>
            <w:tcBorders>
              <w:top w:val="single" w:sz="4" w:space="0" w:color="999999"/>
              <w:left w:val="single" w:sz="4" w:space="0" w:color="999999"/>
              <w:bottom w:val="single" w:sz="4" w:space="0" w:color="999999"/>
              <w:right w:val="single" w:sz="4" w:space="0" w:color="999999"/>
            </w:tcBorders>
          </w:tcPr>
          <w:p>
            <w:pPr>
              <w:jc w:val="center"/>
            </w:pPr>
            <w:r>
              <w:rPr>
                <w:b/>
                <w:sz w:val="20"/>
              </w:rPr>
              <w:t>Predicted</w:t>
            </w:r>
          </w:p>
        </w:tc>
        <w:tc>
          <w:tcPr>
            <w:tcW w:type="dxa" w:w="2160"/>
            <w:shd w:val="clear" w:color="auto" w:fill="ADC9D9"/>
            <w:tcBorders>
              <w:top w:val="single" w:sz="4" w:space="0" w:color="999999"/>
              <w:left w:val="single" w:sz="4" w:space="0" w:color="999999"/>
              <w:bottom w:val="single" w:sz="4" w:space="0" w:color="999999"/>
              <w:right w:val="single" w:sz="4" w:space="0" w:color="999999"/>
            </w:tcBorders>
          </w:tcPr>
          <w:p>
            <w:pPr>
              <w:jc w:val="center"/>
            </w:pPr>
            <w:r>
              <w:rPr>
                <w:b/>
                <w:sz w:val="20"/>
              </w:rPr>
              <w:t>Absolute Error</w:t>
            </w:r>
          </w:p>
        </w:tc>
      </w:tr>
      <w:tr>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Total Room Revenue</w:t>
            </w:r>
          </w:p>
        </w:tc>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$2,690,467</w:t>
            </w:r>
          </w:p>
        </w:tc>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$2,776,984</w:t>
            </w:r>
          </w:p>
        </w:tc>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$86,517</w:t>
            </w:r>
          </w:p>
        </w:tc>
      </w:tr>
      <w:tr>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Mean Occupancy</w:t>
            </w:r>
          </w:p>
        </w:tc>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84.6%</w:t>
            </w:r>
          </w:p>
        </w:tc>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85.1%</w:t>
            </w:r>
          </w:p>
        </w:tc>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0.5 pp</w:t>
            </w:r>
          </w:p>
        </w:tc>
      </w:tr>
      <w:tr>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Mean ADR</w:t>
            </w:r>
          </w:p>
        </w:tc>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$317.44</w:t>
            </w:r>
          </w:p>
        </w:tc>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$322.19</w:t>
            </w:r>
          </w:p>
        </w:tc>
        <w:tc>
          <w:tcPr>
            <w:tcW w:type="dxa" w:w="2160"/>
            <w:tcBorders>
              <w:top w:val="single" w:sz="4" w:space="0" w:color="999999"/>
              <w:left w:val="single" w:sz="4" w:space="0" w:color="999999"/>
              <w:bottom w:val="single" w:sz="4" w:space="0" w:color="999999"/>
              <w:right w:val="single" w:sz="4" w:space="0" w:color="999999"/>
            </w:tcBorders>
            <w:shd w:val="clear" w:color="auto" w:fill="FFFFFF"/>
          </w:tcPr>
          <w:p>
            <w:pPr>
              <w:jc w:val="center"/>
            </w:pPr>
            <w:r>
              <w:rPr>
                <w:sz w:val="20"/>
              </w:rPr>
              <w:t>$4.75</w:t>
            </w:r>
          </w:p>
        </w:tc>
      </w:tr>
      <w:tr>
        <w:tc>
          <w:tcPr>
            <w:tcW w:type="dxa" w:w="2160"/>
            <w:tcBorders>
              <w:top w:val="single" w:sz="4" w:space="0" w:color="999999"/>
              <w:left w:val="single" w:sz="4" w:space="0" w:color="999999"/>
              <w:bottom w:val="single" w:sz="4" w:space="0" w:color="999999"/>
              <w:right w:val="single" w:sz="4" w:space="0" w:color="999999"/>
            </w:tcBorders>
            <w:shd w:val="clear" w:color="auto" w:fill="E8F4F8"/>
          </w:tcPr>
          <w:p>
            <w:pPr>
              <w:jc w:val="center"/>
            </w:pPr>
            <w:r>
              <w:rPr>
                <w:b/>
                <w:sz w:val="20"/>
              </w:rPr>
              <w:t>Mean RevPAR</w:t>
            </w:r>
          </w:p>
        </w:tc>
        <w:tc>
          <w:tcPr>
            <w:tcW w:type="dxa" w:w="2160"/>
            <w:tcBorders>
              <w:top w:val="single" w:sz="4" w:space="0" w:color="999999"/>
              <w:left w:val="single" w:sz="4" w:space="0" w:color="999999"/>
              <w:bottom w:val="single" w:sz="4" w:space="0" w:color="999999"/>
              <w:right w:val="single" w:sz="4" w:space="0" w:color="999999"/>
            </w:tcBorders>
            <w:shd w:val="clear" w:color="auto" w:fill="E8F4F8"/>
          </w:tcPr>
          <w:p>
            <w:pPr>
              <w:jc w:val="center"/>
            </w:pPr>
            <w:r>
              <w:rPr>
                <w:b/>
                <w:sz w:val="20"/>
              </w:rPr>
              <w:t>$311.67</w:t>
            </w:r>
          </w:p>
        </w:tc>
        <w:tc>
          <w:tcPr>
            <w:tcW w:type="dxa" w:w="2160"/>
            <w:tcBorders>
              <w:top w:val="single" w:sz="4" w:space="0" w:color="999999"/>
              <w:left w:val="single" w:sz="4" w:space="0" w:color="999999"/>
              <w:bottom w:val="single" w:sz="4" w:space="0" w:color="999999"/>
              <w:right w:val="single" w:sz="4" w:space="0" w:color="999999"/>
            </w:tcBorders>
            <w:shd w:val="clear" w:color="auto" w:fill="E8F4F8"/>
          </w:tcPr>
          <w:p>
            <w:pPr>
              <w:jc w:val="center"/>
            </w:pPr>
            <w:r>
              <w:rPr>
                <w:b/>
                <w:sz w:val="20"/>
              </w:rPr>
              <w:t>$320.66</w:t>
            </w:r>
          </w:p>
        </w:tc>
        <w:tc>
          <w:tcPr>
            <w:tcW w:type="dxa" w:w="2160"/>
            <w:tcBorders>
              <w:top w:val="single" w:sz="4" w:space="0" w:color="999999"/>
              <w:left w:val="single" w:sz="4" w:space="0" w:color="999999"/>
              <w:bottom w:val="single" w:sz="4" w:space="0" w:color="999999"/>
              <w:right w:val="single" w:sz="4" w:space="0" w:color="999999"/>
            </w:tcBorders>
            <w:shd w:val="clear" w:color="auto" w:fill="E8F4F8"/>
          </w:tcPr>
          <w:p>
            <w:pPr>
              <w:jc w:val="center"/>
            </w:pPr>
            <w:r>
              <w:rPr>
                <w:b/>
                <w:sz w:val="20"/>
              </w:rPr>
              <w:t>$8.99</w:t>
            </w:r>
          </w:p>
        </w:tc>
      </w:tr>
    </w:tbl>
    <w:p>
      <w:pPr>
        <w:spacing w:after="280"/>
        <w:jc w:val="center"/>
      </w:pPr>
      <w:r>
        <w:rPr>
          <w:i/>
          <w:color w:val="404040"/>
          <w:sz w:val="18"/>
        </w:rPr>
        <w:t>Table 11: Test Period Aggregate Comparison</w:t>
      </w:r>
    </w:p>
    <w:p/>
    <w:p>
      <w:pPr>
        <w:spacing w:after="200"/>
        <w:jc w:val="both"/>
      </w:pPr>
      <w:r>
        <w:rPr>
          <w:sz w:val="22"/>
        </w:rPr>
        <w:t>The RevPAR model achieved a MAPE of 8.48% and an R² of 0.9675 on the 61-day holdout period (November–December 2025), directly predicting daily revenue per available room rather than deriving it from the revenue forecast. The model explained 96.75% of the variance in daily RevPAR, confirming that a learned model captures non-linear interactions between pricing and occupancy more effectively than a post-hoc calculation. The mean absolute error of $20.26 per night reflects the compounded uncertainty of both ADR and occupancy dynamics, which is expected given that RevPAR is the product of two independently variable quantities. In aggregate terms, the model predicted a mean RevPAR of $320.66 against an actual of $311.67, an absolute error of $8.99 per available room per night across the test period. The slightly higher MAPE relative to the ADR model (8.48% vs. 5.44%) is consistent with the additional variance introduced by demand-side fluctuations, such as last-minute cancellations and walk-in bookings, which are more difficult to anticipate than rate movements. Overall, the RevPAR model performs at a level suitable for strategic revenue planning and serves as a direct, self-contained forecast of the hotel’s core efficiency metric.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