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rPr>
          <w:color w:val="1F3864"/>
          <w:sz w:val="30"/>
        </w:rPr>
        <w:t>4.2  Year-over-Year Baseline Results</w:t>
      </w:r>
    </w:p>
    <w:p/>
    <w:p>
      <w:r>
        <w:rPr>
          <w:sz w:val="22"/>
        </w:rPr>
        <w:t>Before evaluating the machine learning models, an experience-based year-over-year (YoY) forecast was constructed and evaluated on the same 61-day holdout period (November 1 – December 31, 2025). This baseline represents the most defensible manual forecasting method available to a hotel revenue manager: one who has access to the prior year's actual performance and applies an informed trend adjustment based on how the current year has been tracking. Its purpose is to establish a performance ceiling for human-driven forecasting methods against which the ML model can be objectively compared.</w:t>
      </w:r>
    </w:p>
    <w:p/>
    <w:p>
      <w:pPr>
        <w:pStyle w:val="Heading2"/>
        <w:jc w:val="left"/>
      </w:pPr>
      <w:r>
        <w:rPr>
          <w:color w:val="1F3864"/>
          <w:sz w:val="26"/>
        </w:rPr>
        <w:t>4.2.1  How the Baseline Was Constructed</w:t>
      </w:r>
    </w:p>
    <w:p/>
    <w:p>
      <w:r>
        <w:rPr>
          <w:sz w:val="22"/>
        </w:rPr>
        <w:t>The experience-based YoY forecast was built in three stages. First, the actual daily values for each of the four target KPIs — room revenue, occupancy rate, average daily rate (ADR), and RevPAR — were extracted from the PMS daily statistics for November 1 – December 31, 2024. These 61 days served as the raw prior-year base. Second, the year-to-date performance from January through October was compared across 2024 and 2025 to compute a KPI-specific growth factor for each metric:</w:t>
      </w:r>
    </w:p>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val="clear" w:color="auto" w:fill="1F3864"/>
            <w:vAlign w:val="center"/>
            <w:tcW w:w="1728" w:type="dxa"/>
          </w:tcPr>
          <w:p>
            <w:pPr>
              <w:jc w:val="center"/>
            </w:pPr>
            <w:r/>
            <w:r>
              <w:rPr>
                <w:b/>
                <w:i w:val="0"/>
                <w:color w:val="FFFFFF"/>
                <w:sz w:val="20"/>
              </w:rPr>
              <w:t>KPI</w:t>
            </w:r>
          </w:p>
        </w:tc>
        <w:tc>
          <w:tcPr>
            <w:tcW w:type="dxa" w:w="2160"/>
            <w:shd w:val="clear" w:color="auto" w:fill="1F3864"/>
            <w:vAlign w:val="center"/>
            <w:tcW w:w="2592" w:type="dxa"/>
          </w:tcPr>
          <w:p>
            <w:pPr>
              <w:jc w:val="center"/>
            </w:pPr>
            <w:r/>
            <w:r>
              <w:rPr>
                <w:b/>
                <w:i w:val="0"/>
                <w:color w:val="FFFFFF"/>
                <w:sz w:val="20"/>
              </w:rPr>
              <w:t>Jan–Oct 2024 Daily Mean</w:t>
            </w:r>
          </w:p>
        </w:tc>
        <w:tc>
          <w:tcPr>
            <w:tcW w:type="dxa" w:w="2160"/>
            <w:shd w:val="clear" w:color="auto" w:fill="1F3864"/>
            <w:vAlign w:val="center"/>
            <w:tcW w:w="2592" w:type="dxa"/>
          </w:tcPr>
          <w:p>
            <w:pPr>
              <w:jc w:val="center"/>
            </w:pPr>
            <w:r/>
            <w:r>
              <w:rPr>
                <w:b/>
                <w:i w:val="0"/>
                <w:color w:val="FFFFFF"/>
                <w:sz w:val="20"/>
              </w:rPr>
              <w:t>Jan–Oct 2025 Daily Mean</w:t>
            </w:r>
          </w:p>
        </w:tc>
        <w:tc>
          <w:tcPr>
            <w:tcW w:type="dxa" w:w="2160"/>
            <w:shd w:val="clear" w:color="auto" w:fill="1F3864"/>
            <w:vAlign w:val="center"/>
            <w:tcW w:w="2448" w:type="dxa"/>
          </w:tcPr>
          <w:p>
            <w:pPr>
              <w:jc w:val="center"/>
            </w:pPr>
            <w:r/>
            <w:r>
              <w:rPr>
                <w:b/>
                <w:i w:val="0"/>
                <w:color w:val="FFFFFF"/>
                <w:sz w:val="20"/>
              </w:rPr>
              <w:t>YTD Growth Factor</w:t>
            </w:r>
          </w:p>
        </w:tc>
      </w:tr>
      <w:tr>
        <w:tc>
          <w:tcPr>
            <w:tcW w:type="dxa" w:w="2160"/>
            <w:shd w:val="clear" w:color="auto" w:fill="FFFFFF"/>
            <w:vAlign w:val="center"/>
            <w:tcW w:w="1728" w:type="dxa"/>
          </w:tcPr>
          <w:p>
            <w:pPr>
              <w:jc w:val="left"/>
            </w:pPr>
            <w:r/>
            <w:r>
              <w:rPr>
                <w:b w:val="0"/>
                <w:i w:val="0"/>
                <w:sz w:val="20"/>
              </w:rPr>
              <w:t>Room Revenue</w:t>
            </w:r>
          </w:p>
        </w:tc>
        <w:tc>
          <w:tcPr>
            <w:tcW w:type="dxa" w:w="2160"/>
            <w:shd w:val="clear" w:color="auto" w:fill="FFFFFF"/>
            <w:vAlign w:val="center"/>
            <w:tcW w:w="2592" w:type="dxa"/>
          </w:tcPr>
          <w:p>
            <w:pPr>
              <w:jc w:val="center"/>
            </w:pPr>
            <w:r/>
            <w:r>
              <w:rPr>
                <w:b w:val="0"/>
                <w:i w:val="0"/>
                <w:sz w:val="20"/>
              </w:rPr>
              <w:t>$38,165 / day</w:t>
            </w:r>
          </w:p>
        </w:tc>
        <w:tc>
          <w:tcPr>
            <w:tcW w:type="dxa" w:w="2160"/>
            <w:shd w:val="clear" w:color="auto" w:fill="FFFFFF"/>
            <w:vAlign w:val="center"/>
            <w:tcW w:w="2592" w:type="dxa"/>
          </w:tcPr>
          <w:p>
            <w:pPr>
              <w:jc w:val="center"/>
            </w:pPr>
            <w:r/>
            <w:r>
              <w:rPr>
                <w:b w:val="0"/>
                <w:i w:val="0"/>
                <w:sz w:val="20"/>
              </w:rPr>
              <w:t>$41,304 / day</w:t>
            </w:r>
          </w:p>
        </w:tc>
        <w:tc>
          <w:tcPr>
            <w:tcW w:type="dxa" w:w="2160"/>
            <w:shd w:val="clear" w:color="auto" w:fill="FFFFFF"/>
            <w:vAlign w:val="center"/>
            <w:tcW w:w="2448" w:type="dxa"/>
          </w:tcPr>
          <w:p>
            <w:pPr>
              <w:jc w:val="center"/>
            </w:pPr>
            <w:r/>
            <w:r>
              <w:rPr>
                <w:b w:val="0"/>
                <w:i w:val="0"/>
                <w:sz w:val="20"/>
              </w:rPr>
              <w:t>+8.2%</w:t>
            </w:r>
          </w:p>
        </w:tc>
      </w:tr>
      <w:tr>
        <w:tc>
          <w:tcPr>
            <w:tcW w:type="dxa" w:w="2160"/>
            <w:shd w:val="clear" w:color="auto" w:fill="F2F7FB"/>
            <w:vAlign w:val="center"/>
            <w:tcW w:w="1728" w:type="dxa"/>
          </w:tcPr>
          <w:p>
            <w:pPr>
              <w:jc w:val="left"/>
            </w:pPr>
            <w:r/>
            <w:r>
              <w:rPr>
                <w:b w:val="0"/>
                <w:i w:val="0"/>
                <w:sz w:val="20"/>
              </w:rPr>
              <w:t>Occupancy Rate</w:t>
            </w:r>
          </w:p>
        </w:tc>
        <w:tc>
          <w:tcPr>
            <w:tcW w:type="dxa" w:w="2160"/>
            <w:shd w:val="clear" w:color="auto" w:fill="F2F7FB"/>
            <w:vAlign w:val="center"/>
            <w:tcW w:w="2592" w:type="dxa"/>
          </w:tcPr>
          <w:p>
            <w:pPr>
              <w:jc w:val="center"/>
            </w:pPr>
            <w:r/>
            <w:r>
              <w:rPr>
                <w:b w:val="0"/>
                <w:i w:val="0"/>
                <w:sz w:val="20"/>
              </w:rPr>
              <w:t>86.3%</w:t>
            </w:r>
          </w:p>
        </w:tc>
        <w:tc>
          <w:tcPr>
            <w:tcW w:type="dxa" w:w="2160"/>
            <w:shd w:val="clear" w:color="auto" w:fill="F2F7FB"/>
            <w:vAlign w:val="center"/>
            <w:tcW w:w="2592" w:type="dxa"/>
          </w:tcPr>
          <w:p>
            <w:pPr>
              <w:jc w:val="center"/>
            </w:pPr>
            <w:r/>
            <w:r>
              <w:rPr>
                <w:b w:val="0"/>
                <w:i w:val="0"/>
                <w:sz w:val="20"/>
              </w:rPr>
              <w:t>87.8%</w:t>
            </w:r>
          </w:p>
        </w:tc>
        <w:tc>
          <w:tcPr>
            <w:tcW w:type="dxa" w:w="2160"/>
            <w:shd w:val="clear" w:color="auto" w:fill="F2F7FB"/>
            <w:vAlign w:val="center"/>
            <w:tcW w:w="2448" w:type="dxa"/>
          </w:tcPr>
          <w:p>
            <w:pPr>
              <w:jc w:val="center"/>
            </w:pPr>
            <w:r/>
            <w:r>
              <w:rPr>
                <w:b w:val="0"/>
                <w:i w:val="0"/>
                <w:sz w:val="20"/>
              </w:rPr>
              <w:t>+1.8%</w:t>
            </w:r>
          </w:p>
        </w:tc>
      </w:tr>
      <w:tr>
        <w:tc>
          <w:tcPr>
            <w:tcW w:type="dxa" w:w="2160"/>
            <w:shd w:val="clear" w:color="auto" w:fill="FFFFFF"/>
            <w:vAlign w:val="center"/>
            <w:tcW w:w="1728" w:type="dxa"/>
          </w:tcPr>
          <w:p>
            <w:pPr>
              <w:jc w:val="left"/>
            </w:pPr>
            <w:r/>
            <w:r>
              <w:rPr>
                <w:b w:val="0"/>
                <w:i w:val="0"/>
                <w:sz w:val="20"/>
              </w:rPr>
              <w:t>ADR</w:t>
            </w:r>
          </w:p>
        </w:tc>
        <w:tc>
          <w:tcPr>
            <w:tcW w:type="dxa" w:w="2160"/>
            <w:shd w:val="clear" w:color="auto" w:fill="FFFFFF"/>
            <w:vAlign w:val="center"/>
            <w:tcW w:w="2592" w:type="dxa"/>
          </w:tcPr>
          <w:p>
            <w:pPr>
              <w:jc w:val="center"/>
            </w:pPr>
            <w:r/>
            <w:r>
              <w:rPr>
                <w:b w:val="0"/>
                <w:i w:val="0"/>
                <w:sz w:val="20"/>
              </w:rPr>
              <w:t>$314.90</w:t>
            </w:r>
          </w:p>
        </w:tc>
        <w:tc>
          <w:tcPr>
            <w:tcW w:type="dxa" w:w="2160"/>
            <w:shd w:val="clear" w:color="auto" w:fill="FFFFFF"/>
            <w:vAlign w:val="center"/>
            <w:tcW w:w="2592" w:type="dxa"/>
          </w:tcPr>
          <w:p>
            <w:pPr>
              <w:jc w:val="center"/>
            </w:pPr>
            <w:r/>
            <w:r>
              <w:rPr>
                <w:b w:val="0"/>
                <w:i w:val="0"/>
                <w:sz w:val="20"/>
              </w:rPr>
              <w:t>$320.20</w:t>
            </w:r>
          </w:p>
        </w:tc>
        <w:tc>
          <w:tcPr>
            <w:tcW w:type="dxa" w:w="2160"/>
            <w:shd w:val="clear" w:color="auto" w:fill="FFFFFF"/>
            <w:vAlign w:val="center"/>
            <w:tcW w:w="2448" w:type="dxa"/>
          </w:tcPr>
          <w:p>
            <w:pPr>
              <w:jc w:val="center"/>
            </w:pPr>
            <w:r/>
            <w:r>
              <w:rPr>
                <w:b w:val="0"/>
                <w:i w:val="0"/>
                <w:sz w:val="20"/>
              </w:rPr>
              <w:t>+1.7%</w:t>
            </w:r>
          </w:p>
        </w:tc>
      </w:tr>
      <w:tr>
        <w:tc>
          <w:tcPr>
            <w:tcW w:type="dxa" w:w="2160"/>
            <w:shd w:val="clear" w:color="auto" w:fill="F2F7FB"/>
            <w:vAlign w:val="center"/>
            <w:tcW w:w="1728" w:type="dxa"/>
          </w:tcPr>
          <w:p>
            <w:pPr>
              <w:jc w:val="left"/>
            </w:pPr>
            <w:r/>
            <w:r>
              <w:rPr>
                <w:b w:val="0"/>
                <w:i w:val="0"/>
                <w:sz w:val="20"/>
              </w:rPr>
              <w:t>RevPAR</w:t>
            </w:r>
          </w:p>
        </w:tc>
        <w:tc>
          <w:tcPr>
            <w:tcW w:type="dxa" w:w="2160"/>
            <w:shd w:val="clear" w:color="auto" w:fill="F2F7FB"/>
            <w:vAlign w:val="center"/>
            <w:tcW w:w="2592" w:type="dxa"/>
          </w:tcPr>
          <w:p>
            <w:pPr>
              <w:jc w:val="center"/>
            </w:pPr>
            <w:r/>
            <w:r>
              <w:rPr>
                <w:b w:val="0"/>
                <w:i w:val="0"/>
                <w:sz w:val="20"/>
              </w:rPr>
              <w:t>$278.64</w:t>
            </w:r>
          </w:p>
        </w:tc>
        <w:tc>
          <w:tcPr>
            <w:tcW w:type="dxa" w:w="2160"/>
            <w:shd w:val="clear" w:color="auto" w:fill="F2F7FB"/>
            <w:vAlign w:val="center"/>
            <w:tcW w:w="2592" w:type="dxa"/>
          </w:tcPr>
          <w:p>
            <w:pPr>
              <w:jc w:val="center"/>
            </w:pPr>
            <w:r/>
            <w:r>
              <w:rPr>
                <w:b w:val="0"/>
                <w:i w:val="0"/>
                <w:sz w:val="20"/>
              </w:rPr>
              <w:t>$288.79</w:t>
            </w:r>
          </w:p>
        </w:tc>
        <w:tc>
          <w:tcPr>
            <w:tcW w:type="dxa" w:w="2160"/>
            <w:shd w:val="clear" w:color="auto" w:fill="F2F7FB"/>
            <w:vAlign w:val="center"/>
            <w:tcW w:w="2448" w:type="dxa"/>
          </w:tcPr>
          <w:p>
            <w:pPr>
              <w:jc w:val="center"/>
            </w:pPr>
            <w:r/>
            <w:r>
              <w:rPr>
                <w:b w:val="0"/>
                <w:i w:val="0"/>
                <w:sz w:val="20"/>
              </w:rPr>
              <w:t>+3.7%</w:t>
            </w:r>
          </w:p>
        </w:tc>
      </w:tr>
    </w:tbl>
    <w:p/>
    <w:p>
      <w:r>
        <w:rPr>
          <w:i/>
          <w:sz w:val="18"/>
        </w:rPr>
        <w:t>Table B1: YTD growth factors derived from Jan–Oct 2025 vs. Jan–Oct 2024 actuals, used to adjust prior-year base values for the experienced YoY forecast.</w:t>
      </w:r>
    </w:p>
    <w:p/>
    <w:p>
      <w:r>
        <w:rPr>
          <w:sz w:val="22"/>
        </w:rPr>
        <w:t>Third, each daily value from November–December 2024 was multiplied by its corresponding KPI growth factor to produce the 2025 forecast. A 364-day offset (exactly 52 weeks) was used rather than a simple calendar-date match, ensuring day-of-week alignment between the base year and the forecast period — the Saturday before Thanksgiving 2025 maps to the Saturday before Thanksgiving 2024, not to an arbitrary weekday. The resulting formula for each forecast date is:</w:t>
      </w:r>
    </w:p>
    <w:p/>
    <w:p>
      <w:pPr>
        <w:jc w:val="center"/>
      </w:pPr>
      <w:r>
        <w:rPr>
          <w:rFonts w:ascii="Courier New" w:hAnsi="Courier New"/>
          <w:b/>
          <w:sz w:val="22"/>
        </w:rPr>
        <w:t>Forecast(t, KPI)  =  Actual(t − 364 days, KPI)  ×  (1 + YTD Growth Factorₖᵖᴵ)</w:t>
      </w:r>
    </w:p>
    <w:p/>
    <w:p>
      <w:r>
        <w:rPr>
          <w:sz w:val="22"/>
        </w:rPr>
        <w:t>This approach mirrors the reasoning an experienced revenue manager would apply: anchor the forecast in prior-year actuals, which encode known seasonal patterns, weekday effects, and hotel-specific demand cycles, then scale by the observed growth trajectory of the business. It is considerably more sophisticated than a naive same-period replication because it accounts for structural shifts in demand level across years.</w:t>
      </w:r>
    </w:p>
    <w:p/>
    <w:p>
      <w:pPr>
        <w:pStyle w:val="Heading2"/>
        <w:jc w:val="left"/>
      </w:pPr>
      <w:r>
        <w:rPr>
          <w:color w:val="1F3864"/>
          <w:sz w:val="26"/>
        </w:rPr>
        <w:t>4.2.2  Baseline Performance by KPI</w:t>
      </w:r>
    </w:p>
    <w:p/>
    <w:p>
      <w:r>
        <w:rPr>
          <w:sz w:val="22"/>
        </w:rPr>
        <w:t>The experience-based YoY forecast was evaluated against the 61-day held-out actuals using four metrics: MAPE, MAE, RMSE, and R². Results are presented in Table B2 and discussed individually below.</w:t>
      </w:r>
    </w:p>
    <w:p/>
    <w:tbl>
      <w:tblPr>
        <w:tblStyle w:val="TableGrid"/>
        <w:tblW w:type="auto" w:w="0"/>
        <w:jc w:val="left"/>
        <w:tblLook w:firstColumn="1" w:firstRow="1" w:lastColumn="0" w:lastRow="0" w:noHBand="0" w:noVBand="1" w:val="04A0"/>
      </w:tblPr>
      <w:tblGrid>
        <w:gridCol w:w="1440"/>
        <w:gridCol w:w="1440"/>
        <w:gridCol w:w="1440"/>
        <w:gridCol w:w="1440"/>
        <w:gridCol w:w="1440"/>
        <w:gridCol w:w="1440"/>
      </w:tblGrid>
      <w:tr>
        <w:tc>
          <w:tcPr>
            <w:tcW w:type="dxa" w:w="1440"/>
            <w:shd w:val="clear" w:color="auto" w:fill="1F3864"/>
            <w:vAlign w:val="center"/>
            <w:tcW w:w="1584" w:type="dxa"/>
          </w:tcPr>
          <w:p>
            <w:pPr>
              <w:jc w:val="center"/>
            </w:pPr>
            <w:r/>
            <w:r>
              <w:rPr>
                <w:b/>
                <w:i w:val="0"/>
                <w:color w:val="FFFFFF"/>
                <w:sz w:val="20"/>
              </w:rPr>
              <w:t>KPI</w:t>
            </w:r>
          </w:p>
        </w:tc>
        <w:tc>
          <w:tcPr>
            <w:tcW w:type="dxa" w:w="1440"/>
            <w:shd w:val="clear" w:color="auto" w:fill="1F3864"/>
            <w:vAlign w:val="center"/>
            <w:tcW w:w="1007" w:type="dxa"/>
          </w:tcPr>
          <w:p>
            <w:pPr>
              <w:jc w:val="center"/>
            </w:pPr>
            <w:r/>
            <w:r>
              <w:rPr>
                <w:b/>
                <w:i w:val="0"/>
                <w:color w:val="FFFFFF"/>
                <w:sz w:val="20"/>
              </w:rPr>
              <w:t>MAPE</w:t>
            </w:r>
          </w:p>
        </w:tc>
        <w:tc>
          <w:tcPr>
            <w:tcW w:type="dxa" w:w="1440"/>
            <w:shd w:val="clear" w:color="auto" w:fill="1F3864"/>
            <w:vAlign w:val="center"/>
            <w:tcW w:w="1440" w:type="dxa"/>
          </w:tcPr>
          <w:p>
            <w:pPr>
              <w:jc w:val="center"/>
            </w:pPr>
            <w:r/>
            <w:r>
              <w:rPr>
                <w:b/>
                <w:i w:val="0"/>
                <w:color w:val="FFFFFF"/>
                <w:sz w:val="20"/>
              </w:rPr>
              <w:t>MAE</w:t>
            </w:r>
          </w:p>
        </w:tc>
        <w:tc>
          <w:tcPr>
            <w:tcW w:type="dxa" w:w="1440"/>
            <w:shd w:val="clear" w:color="auto" w:fill="1F3864"/>
            <w:vAlign w:val="center"/>
            <w:tcW w:w="1584" w:type="dxa"/>
          </w:tcPr>
          <w:p>
            <w:pPr>
              <w:jc w:val="center"/>
            </w:pPr>
            <w:r/>
            <w:r>
              <w:rPr>
                <w:b/>
                <w:i w:val="0"/>
                <w:color w:val="FFFFFF"/>
                <w:sz w:val="20"/>
              </w:rPr>
              <w:t>RMSE</w:t>
            </w:r>
          </w:p>
        </w:tc>
        <w:tc>
          <w:tcPr>
            <w:tcW w:type="dxa" w:w="1440"/>
            <w:shd w:val="clear" w:color="auto" w:fill="1F3864"/>
            <w:vAlign w:val="center"/>
            <w:tcW w:w="864" w:type="dxa"/>
          </w:tcPr>
          <w:p>
            <w:pPr>
              <w:jc w:val="center"/>
            </w:pPr>
            <w:r/>
            <w:r>
              <w:rPr>
                <w:b/>
                <w:i w:val="0"/>
                <w:color w:val="FFFFFF"/>
                <w:sz w:val="20"/>
              </w:rPr>
              <w:t>R²</w:t>
            </w:r>
          </w:p>
        </w:tc>
        <w:tc>
          <w:tcPr>
            <w:tcW w:type="dxa" w:w="1440"/>
            <w:shd w:val="clear" w:color="auto" w:fill="1F3864"/>
            <w:vAlign w:val="center"/>
            <w:tcW w:w="3744" w:type="dxa"/>
          </w:tcPr>
          <w:p>
            <w:pPr>
              <w:jc w:val="center"/>
            </w:pPr>
            <w:r/>
            <w:r>
              <w:rPr>
                <w:b/>
                <w:i w:val="0"/>
                <w:color w:val="FFFFFF"/>
                <w:sz w:val="20"/>
              </w:rPr>
              <w:t>Interpretation</w:t>
            </w:r>
          </w:p>
        </w:tc>
      </w:tr>
      <w:tr>
        <w:tc>
          <w:tcPr>
            <w:tcW w:type="dxa" w:w="1440"/>
            <w:shd w:val="clear" w:color="auto" w:fill="FFFFFF"/>
            <w:vAlign w:val="center"/>
            <w:tcW w:w="1584" w:type="dxa"/>
          </w:tcPr>
          <w:p>
            <w:pPr>
              <w:jc w:val="left"/>
            </w:pPr>
            <w:r/>
            <w:r>
              <w:rPr>
                <w:b w:val="0"/>
                <w:i w:val="0"/>
                <w:sz w:val="20"/>
              </w:rPr>
              <w:t>Room Revenue</w:t>
            </w:r>
          </w:p>
        </w:tc>
        <w:tc>
          <w:tcPr>
            <w:tcW w:type="dxa" w:w="1440"/>
            <w:shd w:val="clear" w:color="auto" w:fill="FFFFFF"/>
            <w:vAlign w:val="center"/>
            <w:tcW w:w="1007" w:type="dxa"/>
          </w:tcPr>
          <w:p>
            <w:pPr>
              <w:jc w:val="center"/>
            </w:pPr>
            <w:r/>
            <w:r>
              <w:rPr>
                <w:b w:val="0"/>
                <w:i w:val="0"/>
                <w:sz w:val="20"/>
              </w:rPr>
              <w:t>21.10%</w:t>
            </w:r>
          </w:p>
        </w:tc>
        <w:tc>
          <w:tcPr>
            <w:tcW w:type="dxa" w:w="1440"/>
            <w:shd w:val="clear" w:color="auto" w:fill="FFFFFF"/>
            <w:vAlign w:val="center"/>
            <w:tcW w:w="1440" w:type="dxa"/>
          </w:tcPr>
          <w:p>
            <w:pPr>
              <w:jc w:val="center"/>
            </w:pPr>
            <w:r/>
            <w:r>
              <w:rPr>
                <w:b w:val="0"/>
                <w:i w:val="0"/>
                <w:sz w:val="20"/>
              </w:rPr>
              <w:t>$8,788</w:t>
            </w:r>
          </w:p>
        </w:tc>
        <w:tc>
          <w:tcPr>
            <w:tcW w:type="dxa" w:w="1440"/>
            <w:shd w:val="clear" w:color="auto" w:fill="FFFFFF"/>
            <w:vAlign w:val="center"/>
            <w:tcW w:w="1584" w:type="dxa"/>
          </w:tcPr>
          <w:p>
            <w:pPr>
              <w:jc w:val="center"/>
            </w:pPr>
            <w:r/>
            <w:r>
              <w:rPr>
                <w:b w:val="0"/>
                <w:i w:val="0"/>
                <w:sz w:val="20"/>
              </w:rPr>
              <w:t>$12,729</w:t>
            </w:r>
          </w:p>
        </w:tc>
        <w:tc>
          <w:tcPr>
            <w:tcW w:type="dxa" w:w="1440"/>
            <w:shd w:val="clear" w:color="auto" w:fill="FFFFFF"/>
            <w:vAlign w:val="center"/>
            <w:tcW w:w="864" w:type="dxa"/>
          </w:tcPr>
          <w:p>
            <w:pPr>
              <w:jc w:val="center"/>
            </w:pPr>
            <w:r/>
            <w:r>
              <w:rPr>
                <w:b w:val="0"/>
                <w:i w:val="0"/>
                <w:sz w:val="20"/>
              </w:rPr>
              <w:t>0.63</w:t>
            </w:r>
          </w:p>
        </w:tc>
        <w:tc>
          <w:tcPr>
            <w:tcW w:type="dxa" w:w="1440"/>
            <w:shd w:val="clear" w:color="auto" w:fill="FFFFFF"/>
            <w:vAlign w:val="center"/>
            <w:tcW w:w="3744" w:type="dxa"/>
          </w:tcPr>
          <w:p>
            <w:pPr>
              <w:jc w:val="left"/>
            </w:pPr>
            <w:r/>
            <w:r>
              <w:rPr>
                <w:b w:val="0"/>
                <w:i w:val="0"/>
                <w:sz w:val="20"/>
              </w:rPr>
              <w:t>Moderate predictive power; prior-year revenue patterns partially transfer but day-level spikes are missed</w:t>
            </w:r>
          </w:p>
        </w:tc>
      </w:tr>
      <w:tr>
        <w:tc>
          <w:tcPr>
            <w:tcW w:type="dxa" w:w="1440"/>
            <w:shd w:val="clear" w:color="auto" w:fill="F2F7FB"/>
            <w:vAlign w:val="center"/>
            <w:tcW w:w="1584" w:type="dxa"/>
          </w:tcPr>
          <w:p>
            <w:pPr>
              <w:jc w:val="left"/>
            </w:pPr>
            <w:r/>
            <w:r>
              <w:rPr>
                <w:b w:val="0"/>
                <w:i w:val="0"/>
                <w:sz w:val="20"/>
              </w:rPr>
              <w:t>Occupancy Rate</w:t>
            </w:r>
          </w:p>
        </w:tc>
        <w:tc>
          <w:tcPr>
            <w:tcW w:type="dxa" w:w="1440"/>
            <w:shd w:val="clear" w:color="auto" w:fill="F2F7FB"/>
            <w:vAlign w:val="center"/>
            <w:tcW w:w="1007" w:type="dxa"/>
          </w:tcPr>
          <w:p>
            <w:pPr>
              <w:jc w:val="center"/>
            </w:pPr>
            <w:r/>
            <w:r>
              <w:rPr>
                <w:b w:val="0"/>
                <w:i w:val="0"/>
                <w:sz w:val="20"/>
              </w:rPr>
              <w:t>15.54%</w:t>
            </w:r>
          </w:p>
        </w:tc>
        <w:tc>
          <w:tcPr>
            <w:tcW w:type="dxa" w:w="1440"/>
            <w:shd w:val="clear" w:color="auto" w:fill="F2F7FB"/>
            <w:vAlign w:val="center"/>
            <w:tcW w:w="1440" w:type="dxa"/>
          </w:tcPr>
          <w:p>
            <w:pPr>
              <w:jc w:val="center"/>
            </w:pPr>
            <w:r/>
            <w:r>
              <w:rPr>
                <w:b w:val="0"/>
                <w:i w:val="0"/>
                <w:sz w:val="20"/>
              </w:rPr>
              <w:t>13.2 pp</w:t>
            </w:r>
          </w:p>
        </w:tc>
        <w:tc>
          <w:tcPr>
            <w:tcW w:type="dxa" w:w="1440"/>
            <w:shd w:val="clear" w:color="auto" w:fill="F2F7FB"/>
            <w:vAlign w:val="center"/>
            <w:tcW w:w="1584" w:type="dxa"/>
          </w:tcPr>
          <w:p>
            <w:pPr>
              <w:jc w:val="center"/>
            </w:pPr>
            <w:r/>
            <w:r>
              <w:rPr>
                <w:b w:val="0"/>
                <w:i w:val="0"/>
                <w:sz w:val="20"/>
              </w:rPr>
              <w:t>17.7 pp</w:t>
            </w:r>
          </w:p>
        </w:tc>
        <w:tc>
          <w:tcPr>
            <w:tcW w:type="dxa" w:w="1440"/>
            <w:shd w:val="clear" w:color="auto" w:fill="F2F7FB"/>
            <w:vAlign w:val="center"/>
            <w:tcW w:w="864" w:type="dxa"/>
          </w:tcPr>
          <w:p>
            <w:pPr>
              <w:jc w:val="center"/>
            </w:pPr>
            <w:r/>
            <w:r>
              <w:rPr>
                <w:b w:val="0"/>
                <w:i w:val="0"/>
                <w:sz w:val="20"/>
              </w:rPr>
              <w:t>−0.96</w:t>
            </w:r>
          </w:p>
        </w:tc>
        <w:tc>
          <w:tcPr>
            <w:tcW w:type="dxa" w:w="1440"/>
            <w:shd w:val="clear" w:color="auto" w:fill="F2F7FB"/>
            <w:vAlign w:val="center"/>
            <w:tcW w:w="3744" w:type="dxa"/>
          </w:tcPr>
          <w:p>
            <w:pPr>
              <w:jc w:val="left"/>
            </w:pPr>
            <w:r/>
            <w:r>
              <w:rPr>
                <w:b w:val="0"/>
                <w:i w:val="0"/>
                <w:sz w:val="20"/>
              </w:rPr>
              <w:t>R² below zero — the YoY projection is less accurate than predicting the period mean; short-term booking behaviour is not captured</w:t>
            </w:r>
          </w:p>
        </w:tc>
      </w:tr>
      <w:tr>
        <w:tc>
          <w:tcPr>
            <w:tcW w:type="dxa" w:w="1440"/>
            <w:shd w:val="clear" w:color="auto" w:fill="FFFFFF"/>
            <w:vAlign w:val="center"/>
            <w:tcW w:w="1584" w:type="dxa"/>
          </w:tcPr>
          <w:p>
            <w:pPr>
              <w:jc w:val="left"/>
            </w:pPr>
            <w:r/>
            <w:r>
              <w:rPr>
                <w:b w:val="0"/>
                <w:i w:val="0"/>
                <w:sz w:val="20"/>
              </w:rPr>
              <w:t>ADR</w:t>
            </w:r>
          </w:p>
        </w:tc>
        <w:tc>
          <w:tcPr>
            <w:tcW w:type="dxa" w:w="1440"/>
            <w:shd w:val="clear" w:color="auto" w:fill="FFFFFF"/>
            <w:vAlign w:val="center"/>
            <w:tcW w:w="1007" w:type="dxa"/>
          </w:tcPr>
          <w:p>
            <w:pPr>
              <w:jc w:val="center"/>
            </w:pPr>
            <w:r/>
            <w:r>
              <w:rPr>
                <w:b w:val="0"/>
                <w:i w:val="0"/>
                <w:sz w:val="20"/>
              </w:rPr>
              <w:t>15.10%</w:t>
            </w:r>
          </w:p>
        </w:tc>
        <w:tc>
          <w:tcPr>
            <w:tcW w:type="dxa" w:w="1440"/>
            <w:shd w:val="clear" w:color="auto" w:fill="FFFFFF"/>
            <w:vAlign w:val="center"/>
            <w:tcW w:w="1440" w:type="dxa"/>
          </w:tcPr>
          <w:p>
            <w:pPr>
              <w:jc w:val="center"/>
            </w:pPr>
            <w:r/>
            <w:r>
              <w:rPr>
                <w:b w:val="0"/>
                <w:i w:val="0"/>
                <w:sz w:val="20"/>
              </w:rPr>
              <w:t>$49.00</w:t>
            </w:r>
          </w:p>
        </w:tc>
        <w:tc>
          <w:tcPr>
            <w:tcW w:type="dxa" w:w="1440"/>
            <w:shd w:val="clear" w:color="auto" w:fill="FFFFFF"/>
            <w:vAlign w:val="center"/>
            <w:tcW w:w="1584" w:type="dxa"/>
          </w:tcPr>
          <w:p>
            <w:pPr>
              <w:jc w:val="center"/>
            </w:pPr>
            <w:r/>
            <w:r>
              <w:rPr>
                <w:b w:val="0"/>
                <w:i w:val="0"/>
                <w:sz w:val="20"/>
              </w:rPr>
              <w:t>$65.04</w:t>
            </w:r>
          </w:p>
        </w:tc>
        <w:tc>
          <w:tcPr>
            <w:tcW w:type="dxa" w:w="1440"/>
            <w:shd w:val="clear" w:color="auto" w:fill="FFFFFF"/>
            <w:vAlign w:val="center"/>
            <w:tcW w:w="864" w:type="dxa"/>
          </w:tcPr>
          <w:p>
            <w:pPr>
              <w:jc w:val="center"/>
            </w:pPr>
            <w:r/>
            <w:r>
              <w:rPr>
                <w:b w:val="0"/>
                <w:i w:val="0"/>
                <w:sz w:val="20"/>
              </w:rPr>
              <w:t>0.74</w:t>
            </w:r>
          </w:p>
        </w:tc>
        <w:tc>
          <w:tcPr>
            <w:tcW w:type="dxa" w:w="1440"/>
            <w:shd w:val="clear" w:color="auto" w:fill="FFFFFF"/>
            <w:vAlign w:val="center"/>
            <w:tcW w:w="3744" w:type="dxa"/>
          </w:tcPr>
          <w:p>
            <w:pPr>
              <w:jc w:val="left"/>
            </w:pPr>
            <w:r/>
            <w:r>
              <w:rPr>
                <w:b w:val="0"/>
                <w:i w:val="0"/>
                <w:sz w:val="20"/>
              </w:rPr>
              <w:t>Best-performing KPI for YoY; rate levels partially anchor to prior year, but competitive pricing dynamics add unexplained variance</w:t>
            </w:r>
          </w:p>
        </w:tc>
      </w:tr>
      <w:tr>
        <w:tc>
          <w:tcPr>
            <w:tcW w:type="dxa" w:w="1440"/>
            <w:shd w:val="clear" w:color="auto" w:fill="F2F7FB"/>
            <w:vAlign w:val="center"/>
            <w:tcW w:w="1584" w:type="dxa"/>
          </w:tcPr>
          <w:p>
            <w:pPr>
              <w:jc w:val="left"/>
            </w:pPr>
            <w:r/>
            <w:r>
              <w:rPr>
                <w:b w:val="0"/>
                <w:i w:val="0"/>
                <w:sz w:val="20"/>
              </w:rPr>
              <w:t>RevPAR</w:t>
            </w:r>
          </w:p>
        </w:tc>
        <w:tc>
          <w:tcPr>
            <w:tcW w:type="dxa" w:w="1440"/>
            <w:shd w:val="clear" w:color="auto" w:fill="F2F7FB"/>
            <w:vAlign w:val="center"/>
            <w:tcW w:w="1007" w:type="dxa"/>
          </w:tcPr>
          <w:p>
            <w:pPr>
              <w:jc w:val="center"/>
            </w:pPr>
            <w:r/>
            <w:r>
              <w:rPr>
                <w:b w:val="0"/>
                <w:i w:val="0"/>
                <w:sz w:val="20"/>
              </w:rPr>
              <w:t>21.22%</w:t>
            </w:r>
          </w:p>
        </w:tc>
        <w:tc>
          <w:tcPr>
            <w:tcW w:type="dxa" w:w="1440"/>
            <w:shd w:val="clear" w:color="auto" w:fill="F2F7FB"/>
            <w:vAlign w:val="center"/>
            <w:tcW w:w="1440" w:type="dxa"/>
          </w:tcPr>
          <w:p>
            <w:pPr>
              <w:jc w:val="center"/>
            </w:pPr>
            <w:r/>
            <w:r>
              <w:rPr>
                <w:b w:val="0"/>
                <w:i w:val="0"/>
                <w:sz w:val="20"/>
              </w:rPr>
              <w:t>$62.11</w:t>
            </w:r>
          </w:p>
        </w:tc>
        <w:tc>
          <w:tcPr>
            <w:tcW w:type="dxa" w:w="1440"/>
            <w:shd w:val="clear" w:color="auto" w:fill="F2F7FB"/>
            <w:vAlign w:val="center"/>
            <w:tcW w:w="1584" w:type="dxa"/>
          </w:tcPr>
          <w:p>
            <w:pPr>
              <w:jc w:val="center"/>
            </w:pPr>
            <w:r/>
            <w:r>
              <w:rPr>
                <w:b w:val="0"/>
                <w:i w:val="0"/>
                <w:sz w:val="20"/>
              </w:rPr>
              <w:t>$88.93</w:t>
            </w:r>
          </w:p>
        </w:tc>
        <w:tc>
          <w:tcPr>
            <w:tcW w:type="dxa" w:w="1440"/>
            <w:shd w:val="clear" w:color="auto" w:fill="F2F7FB"/>
            <w:vAlign w:val="center"/>
            <w:tcW w:w="864" w:type="dxa"/>
          </w:tcPr>
          <w:p>
            <w:pPr>
              <w:jc w:val="center"/>
            </w:pPr>
            <w:r/>
            <w:r>
              <w:rPr>
                <w:b w:val="0"/>
                <w:i w:val="0"/>
                <w:sz w:val="20"/>
              </w:rPr>
              <w:t>0.62</w:t>
            </w:r>
          </w:p>
        </w:tc>
        <w:tc>
          <w:tcPr>
            <w:tcW w:type="dxa" w:w="1440"/>
            <w:shd w:val="clear" w:color="auto" w:fill="F2F7FB"/>
            <w:vAlign w:val="center"/>
            <w:tcW w:w="3744" w:type="dxa"/>
          </w:tcPr>
          <w:p>
            <w:pPr>
              <w:jc w:val="left"/>
            </w:pPr>
            <w:r/>
            <w:r>
              <w:rPr>
                <w:b w:val="0"/>
                <w:i w:val="0"/>
                <w:sz w:val="20"/>
              </w:rPr>
              <w:t>Reflects compounded error from both occupancy and ADR projections; limited usefulness as a pricing anchor</w:t>
            </w:r>
          </w:p>
        </w:tc>
      </w:tr>
    </w:tbl>
    <w:p/>
    <w:p>
      <w:r>
        <w:rPr>
          <w:i/>
          <w:sz w:val="18"/>
        </w:rPr>
        <w:t>Table B2: Experience-based YoY forecast performance on the 61-day holdout (Nov–Dec 2025). pp = percentage points.</w:t>
      </w:r>
    </w:p>
    <w:p/>
    <w:p>
      <w:r>
        <w:br w:type="page"/>
      </w:r>
    </w:p>
    <w:p>
      <w:pPr>
        <w:pStyle w:val="Heading2"/>
        <w:jc w:val="left"/>
      </w:pPr>
      <w:r>
        <w:rPr>
          <w:color w:val="1F3864"/>
          <w:sz w:val="26"/>
        </w:rPr>
        <w:t>4.2.3  KPI-Level Analysis</w:t>
      </w:r>
    </w:p>
    <w:p/>
    <w:p>
      <w:pPr>
        <w:pStyle w:val="Heading3"/>
        <w:jc w:val="left"/>
      </w:pPr>
      <w:r>
        <w:rPr>
          <w:color w:val="2E74B5"/>
          <w:sz w:val="22"/>
        </w:rPr>
        <w:t>Room Revenue</w:t>
      </w:r>
    </w:p>
    <w:p>
      <w:r>
        <w:rPr>
          <w:i/>
          <w:color w:val="595959"/>
          <w:sz w:val="20"/>
        </w:rPr>
        <w:t>21.10% MAPE  |  MAE $8,788  |  R² = 0.63</w:t>
      </w:r>
    </w:p>
    <w:p/>
    <w:p>
      <w:r>
        <w:rPr>
          <w:sz w:val="22"/>
        </w:rPr>
        <w:t>The YoY revenue forecast achieved a MAPE of 21.10% and an R² of 0.63 across the 61-day test window. While the R² indicates that prior-year revenue patterns explain roughly 63% of the day-level variance in 2025 revenue, the remaining 37% — corresponding to average daily errors of $8,788 — represents a material shortfall for operational planning. Errors were concentrated on days where 2025 demand diverged structurally from 2024: Thanksgiving week (shifted by one calendar day relative to 2024), the first week of December (which saw an unusually strong corporate group in 2025 with no 2024 equivalent), and the final week of December where New Year's Eve demand was materially higher in 2025. The flat growth multiplier of +8.2% — derived from the January–October YTD trend — could not distinguish between high-demand and low-demand days within the test window; it scaled all days proportionally regardless of their individual demand drivers.</w:t>
      </w:r>
    </w:p>
    <w:p/>
    <w:p>
      <w:pPr>
        <w:pStyle w:val="Heading3"/>
        <w:jc w:val="left"/>
      </w:pPr>
      <w:r>
        <w:rPr>
          <w:color w:val="2E74B5"/>
          <w:sz w:val="22"/>
        </w:rPr>
        <w:t>Occupancy Rate</w:t>
      </w:r>
    </w:p>
    <w:p>
      <w:r>
        <w:rPr>
          <w:i/>
          <w:color w:val="595959"/>
          <w:sz w:val="20"/>
        </w:rPr>
        <w:t>15.54% MAPE  |  MAE 13.2 pp  |  R² = −0.96</w:t>
      </w:r>
    </w:p>
    <w:p/>
    <w:p>
      <w:r>
        <w:rPr>
          <w:sz w:val="22"/>
        </w:rPr>
        <w:t>The occupancy forecast produced the weakest result of the four KPIs, with a MAPE of 15.54% and a negative R² of −0.96. A negative R² indicates that the YoY model performed worse than simply predicting the average occupancy rate for the period — a strong signal that prior-year occupancy patterns are an unreliable guide to day-level demand in the holdout window. This result is consistent with the nature of hotel occupancy: it is driven primarily by short-term booking behaviour (arrivals in the final 7–30 days before a stay), cancellation and no-show patterns, and group block activity — all of which change from year to year and cannot be inferred from a 12-month-old observation. The +1.8% growth multiplier applied to 2024 occupancy levels amplified rather than corrected these mismatches on days where 2025 occupancy moved in the opposite direction to 2024. An experienced revenue manager reviewing these results would recognise that occupancy forecasting requires real-time booking pace data, which the YoY method structurally cannot provide.</w:t>
      </w:r>
    </w:p>
    <w:p/>
    <w:p>
      <w:pPr>
        <w:pStyle w:val="Heading3"/>
        <w:jc w:val="left"/>
      </w:pPr>
      <w:r>
        <w:rPr>
          <w:color w:val="2E74B5"/>
          <w:sz w:val="22"/>
        </w:rPr>
        <w:t>ADR</w:t>
      </w:r>
    </w:p>
    <w:p>
      <w:r>
        <w:rPr>
          <w:i/>
          <w:color w:val="595959"/>
          <w:sz w:val="20"/>
        </w:rPr>
        <w:t>15.10% MAPE  |  MAE $49.00  |  R² = 0.74</w:t>
      </w:r>
    </w:p>
    <w:p/>
    <w:p>
      <w:r>
        <w:rPr>
          <w:sz w:val="22"/>
        </w:rPr>
        <w:t>ADR is the KPI where the experience-based approach performs best, achieving an R² of 0.74 and a MAPE of 15.10%. This reflects the relative stability of hotel rack rates year-over-year: published rate structures, seasonal pricing tiers, and negotiated group rates tend to persist across years with moderate inflation adjustments. The +1.7% YTD growth factor applied to 2024 ADR levels captured this general upward drift reasonably well for mid-range demand days. However, the MAPE of 15.10% and MAE of $49.00 per night reveal that the YoY method cannot account for competitive rate dynamics — periods when Arlo's pricing diverged from the prior year due to competitor rate changes, demand compression events, or deliberate yield management decisions. These factors are invisible to a backward-looking YoY trend and represent the primary driver of ADR forecast error in the test window.</w:t>
      </w:r>
    </w:p>
    <w:p/>
    <w:p>
      <w:pPr>
        <w:pStyle w:val="Heading3"/>
        <w:jc w:val="left"/>
      </w:pPr>
      <w:r>
        <w:rPr>
          <w:color w:val="2E74B5"/>
          <w:sz w:val="22"/>
        </w:rPr>
        <w:t>RevPAR</w:t>
      </w:r>
    </w:p>
    <w:p>
      <w:r>
        <w:rPr>
          <w:i/>
          <w:color w:val="595959"/>
          <w:sz w:val="20"/>
        </w:rPr>
        <w:t>21.22% MAPE  |  MAE $62.11  |  R² = 0.62</w:t>
      </w:r>
    </w:p>
    <w:p/>
    <w:p>
      <w:r>
        <w:rPr>
          <w:sz w:val="22"/>
        </w:rPr>
        <w:t>RevPAR combines the pricing signal of ADR with the volume signal of occupancy, making it the most comprehensive indicator of revenue productivity per available room. The YoY forecast achieved a MAPE of 21.22% and R² of 0.62 for RevPAR — a result that closely tracks the revenue model's performance and is notably worse than the ADR model alone. This gap illustrates the compounding effect of occupancy forecast error: even when the rate component is reasonably estimated, the volume error propagates through to RevPAR. The MAPE of 21.22% translates to an average daily error of $62.11 per available room, or approximately $9,130 per day in absolute revenue terms for a 147-room property — a level of imprecision that would materially affect pricing, staffing, and inventory decisions if used as an operational input. The R² of 0.62, while positive, confirms that the YoY approach leaves substantial day-level variance unexplained, setting a clear performance floor for the machine learning evaluation that follows.</w:t>
      </w:r>
    </w:p>
    <w:p/>
    <w:p>
      <w:pPr>
        <w:pStyle w:val="Heading2"/>
        <w:jc w:val="left"/>
      </w:pPr>
      <w:r>
        <w:rPr>
          <w:color w:val="1F3864"/>
          <w:sz w:val="26"/>
        </w:rPr>
        <w:t>4.2.4  Summary of Baseline Limitations</w:t>
      </w:r>
    </w:p>
    <w:p/>
    <w:p>
      <w:r>
        <w:rPr>
          <w:sz w:val="22"/>
        </w:rPr>
        <w:t>Taken together, the YoY baseline results reveal three structural limitations of experience-based forecasting that motivate the machine learning approach:</w:t>
      </w:r>
    </w:p>
    <w:p/>
    <w:p>
      <w:pPr>
        <w:pStyle w:val="ListNumber"/>
      </w:pPr>
      <w:r>
        <w:rPr>
          <w:b/>
          <w:sz w:val="22"/>
        </w:rPr>
        <w:t xml:space="preserve">No real-time demand signal.  </w:t>
      </w:r>
      <w:r>
        <w:rPr>
          <w:sz w:val="22"/>
        </w:rPr>
        <w:t>The YoY method has no access to current booking pace, rooms on books, or pickup trends. These signals — which update daily and are strong predictors of near-term demand — are the primary source of forecast accuracy that the ML model exploits. The occupancy R² of −0.96 is the clearest evidence of this gap.</w:t>
      </w:r>
    </w:p>
    <w:p>
      <w:pPr>
        <w:pStyle w:val="ListNumber"/>
      </w:pPr>
      <w:r>
        <w:rPr>
          <w:b/>
          <w:sz w:val="22"/>
        </w:rPr>
        <w:t xml:space="preserve">Flat growth multiplier cannot capture day-level heterogeneity.  </w:t>
      </w:r>
      <w:r>
        <w:rPr>
          <w:sz w:val="22"/>
        </w:rPr>
        <w:t>Applying a single YTD growth factor to every day in the forecast window assumes that 2025 demand grew uniformly over 2024 across all days and demand patterns. In practice, high-demand weekends, holiday windows, and event days grew at very different rates than mid-week shoulder days. The YoY method cannot distinguish these without a day-level adjustment model — which would itself require the kind of feature engineering used in the ML pipeline.</w:t>
      </w:r>
    </w:p>
    <w:p>
      <w:pPr>
        <w:pStyle w:val="ListNumber"/>
      </w:pPr>
      <w:r>
        <w:rPr>
          <w:b/>
          <w:sz w:val="22"/>
        </w:rPr>
        <w:t xml:space="preserve">No competitive or external signal.  </w:t>
      </w:r>
      <w:r>
        <w:rPr>
          <w:sz w:val="22"/>
        </w:rPr>
        <w:t>The method is entirely backward-looking. It cannot incorporate information about competitor pricing (STR comp set data), upcoming NYC events, weather forecasts, or any other forward-looking demand driver. As the ADR results show, this limitation is most consequential for rate-setting decisions, where competitive context materially affects optimal pricing.</w:t>
      </w:r>
    </w:p>
    <w:p/>
    <w:p>
      <w:r>
        <w:rPr>
          <w:sz w:val="22"/>
        </w:rPr>
        <w:t>These limitations do not invalidate the experience-based YoY approach as a practical tool — it remains widely used in hotel revenue management precisely because it is fast, transparent, and requires no data infrastructure. Rather, they define the performance ceiling of human-driven forecasting on this dataset and establish the benchmark against which the LightGBM models are evaluated in Section 4.3.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