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Rate Canonical Structure &amp; Source Mapping</w:t>
      </w:r>
    </w:p>
    <w:p>
      <w:pPr>
        <w:jc w:val="center"/>
      </w:pPr>
      <w:r>
        <w:t>Common ProductRate model for Fixed, Indexed, and RILA products, including source-field mapping and category-specific exceptions.</w:t>
      </w:r>
    </w:p>
    <w:p>
      <w:pPr>
        <w:pStyle w:val="Heading1"/>
      </w:pPr>
      <w:r>
        <w:t>1. Canonical Model</w:t>
      </w:r>
    </w:p>
    <w:p>
      <w:pPr>
        <w:pStyle w:val="NoSpacing"/>
      </w:pPr>
      <w:r>
        <w:t>interface ProductRate {</w:t>
        <w:br/>
        <w:t xml:space="preserve">  id: string</w:t>
        <w:br/>
        <w:br/>
        <w:t xml:space="preserve">  // References</w:t>
        <w:br/>
        <w:t xml:space="preserve">  productId: string</w:t>
        <w:br/>
        <w:t xml:space="preserve">  categoryId: string</w:t>
        <w:br/>
        <w:t xml:space="preserve">  strategyId?: string</w:t>
        <w:br/>
        <w:t xml:space="preserve">  creditingMethodId?: string</w:t>
        <w:br/>
        <w:t xml:space="preserve">  marketIndexId?: string</w:t>
        <w:br/>
        <w:br/>
        <w:t xml:space="preserve">  // Lifecycle</w:t>
        <w:br/>
        <w:t xml:space="preserve">  startDate: Date</w:t>
        <w:br/>
        <w:t xml:space="preserve">  endDate?: Date</w:t>
        <w:br/>
        <w:br/>
        <w:t xml:space="preserve">  // Identification</w:t>
        <w:br/>
        <w:t xml:space="preserve">  name?: string</w:t>
        <w:br/>
        <w:t xml:space="preserve">  description?: string</w:t>
        <w:br/>
        <w:br/>
        <w:t xml:space="preserve">  // Classification</w:t>
        <w:br/>
        <w:t xml:space="preserve">  isProprietary: boolean</w:t>
        <w:br/>
        <w:t xml:space="preserve">  isScorecardEligible: boolean</w:t>
        <w:br/>
        <w:br/>
        <w:t xml:space="preserve">  // Premium</w:t>
        <w:br/>
        <w:t xml:space="preserve">  premium?: PremiumRange</w:t>
        <w:br/>
        <w:br/>
        <w:t xml:space="preserve">  // Availability</w:t>
        <w:br/>
        <w:t xml:space="preserve">  states?: string[]</w:t>
        <w:br/>
        <w:br/>
        <w:t xml:space="preserve">  // Term</w:t>
        <w:br/>
        <w:t xml:space="preserve">  term?: RateTerm</w:t>
        <w:br/>
        <w:br/>
        <w:t xml:space="preserve">  // Crediting</w:t>
        <w:br/>
        <w:t xml:space="preserve">  creditingFrequency?: string</w:t>
        <w:br/>
        <w:br/>
        <w:t xml:space="preserve">  // Rate</w:t>
        <w:br/>
        <w:t xml:space="preserve">  rate?: Rate</w:t>
        <w:br/>
        <w:br/>
        <w:t xml:space="preserve">  // Rate mechanics</w:t>
        <w:br/>
        <w:t xml:space="preserve">  cap?: RateRange</w:t>
        <w:br/>
        <w:t xml:space="preserve">  floor?: number</w:t>
        <w:br/>
        <w:t xml:space="preserve">  buffer?: number</w:t>
        <w:br/>
        <w:t xml:space="preserve">  spread?: RateRange</w:t>
        <w:br/>
        <w:t xml:space="preserve">  participation?: RateRange</w:t>
        <w:br/>
        <w:t xml:space="preserve">  trigger?: TriggerRate</w:t>
        <w:br/>
        <w:t xml:space="preserve">  minimumCredit?: number</w:t>
        <w:br/>
        <w:t xml:space="preserve">  bonus?: BonusRate</w:t>
        <w:br/>
        <w:br/>
        <w:t xml:space="preserve">  // Other</w:t>
        <w:br/>
        <w:t xml:space="preserve">  terms?: Record&lt;string, unknown&gt;</w:t>
        <w:br/>
        <w:br/>
        <w:t xml:space="preserve">  // Source</w:t>
        <w:br/>
        <w:t xml:space="preserve">  source?: string</w:t>
        <w:br/>
        <w:t xml:space="preserve">  sourceId?: string</w:t>
        <w:br/>
        <w:t>}</w:t>
        <w:br/>
        <w:br/>
        <w:t>interface PremiumRange {</w:t>
        <w:br/>
        <w:t xml:space="preserve">  minimum?: number</w:t>
        <w:br/>
        <w:t xml:space="preserve">  maximum?: number</w:t>
        <w:br/>
        <w:t>}</w:t>
        <w:br/>
        <w:br/>
        <w:t>interface RateTerm {</w:t>
        <w:br/>
        <w:t xml:space="preserve">  value?: number</w:t>
        <w:br/>
        <w:t xml:space="preserve">  startDate?: Date</w:t>
        <w:br/>
        <w:t xml:space="preserve">  endDate?: Date</w:t>
        <w:br/>
        <w:t>}</w:t>
        <w:br/>
        <w:br/>
        <w:t>interface Rate {</w:t>
        <w:br/>
        <w:t xml:space="preserve">  value?: number</w:t>
        <w:br/>
        <w:t xml:space="preserve">  minimum?: number</w:t>
        <w:br/>
        <w:t xml:space="preserve">  guaranteed?: number</w:t>
        <w:br/>
        <w:t>}</w:t>
        <w:br/>
        <w:br/>
        <w:t>interface RateRange {</w:t>
        <w:br/>
        <w:t xml:space="preserve">  value: number</w:t>
        <w:br/>
        <w:t xml:space="preserve">  minimum?: number</w:t>
        <w:br/>
        <w:t xml:space="preserve">  maximum?: number</w:t>
        <w:br/>
        <w:t xml:space="preserve">  bailout?: number</w:t>
        <w:br/>
        <w:t>}</w:t>
        <w:br/>
        <w:br/>
        <w:t>interface TriggerRate {</w:t>
        <w:br/>
        <w:t xml:space="preserve">  value?: number</w:t>
        <w:br/>
        <w:t xml:space="preserve">  rate?: number</w:t>
        <w:br/>
        <w:t>}</w:t>
        <w:br/>
        <w:br/>
        <w:t>interface BonusRate {</w:t>
        <w:br/>
        <w:t xml:space="preserve">  value: number</w:t>
        <w:br/>
        <w:t xml:space="preserve">  term?: number</w:t>
        <w:br/>
        <w:t xml:space="preserve">  type?: string</w:t>
        <w:br/>
        <w:t>}</w:t>
      </w:r>
    </w:p>
    <w:p>
      <w:pPr>
        <w:pStyle w:val="Heading1"/>
      </w:pPr>
      <w:r>
        <w:t>2. Normalization Rules</w:t>
      </w:r>
    </w:p>
    <w:p>
      <w:pPr>
        <w:pStyle w:val="ListBullet"/>
      </w:pPr>
      <w:r>
        <w:t>Rate and percentage values are normalized during ingestion. No unit field is stored.</w:t>
      </w:r>
    </w:p>
    <w:p>
      <w:pPr>
        <w:pStyle w:val="ListBullet"/>
      </w:pPr>
      <w:r>
        <w:t>Premium values are normalized to dollars.</w:t>
      </w:r>
    </w:p>
    <w:p>
      <w:pPr>
        <w:pStyle w:val="ListBullet"/>
      </w:pPr>
      <w:r>
        <w:t>Term values use one canonical numeric representation. No termUnit field is stored.</w:t>
      </w:r>
    </w:p>
    <w:p>
      <w:pPr>
        <w:pStyle w:val="ListBullet"/>
      </w:pPr>
      <w:r>
        <w:t>All IDs that resolve to other DDW entities are grouped conceptually as References.</w:t>
      </w:r>
    </w:p>
    <w:p>
      <w:pPr>
        <w:pStyle w:val="ListBullet"/>
      </w:pPr>
      <w:r>
        <w:t>Optional category-specific attributes remain in terms rather than being forced into the common schema.</w:t>
      </w:r>
    </w:p>
    <w:p>
      <w:pPr>
        <w:pStyle w:val="ListBullet"/>
      </w:pPr>
      <w:r>
        <w:t>Source/system identifiers should remain ingestion metadata unless they have a business use in the canonical model.</w:t>
      </w:r>
    </w:p>
    <w:p>
      <w:pPr>
        <w:pStyle w:val="Heading1"/>
      </w:pPr>
      <w:r>
        <w:t>3. Fixed Mapping</w:t>
      </w:r>
    </w:p>
    <w:tbl>
      <w:tblPr>
        <w:tblStyle w:val="TableGrid"/>
        <w:tblW w:type="auto" w:w="0"/>
        <w:tblLook w:firstColumn="1" w:firstRow="1" w:lastColumn="0" w:lastRow="0" w:noHBand="0" w:noVBand="1" w:val="04A0"/>
      </w:tblPr>
      <w:tblGrid>
        <w:gridCol w:w="4320"/>
        <w:gridCol w:w="4320"/>
      </w:tblGrid>
      <w:tr>
        <w:tc>
          <w:tcPr>
            <w:tcW w:type="dxa" w:w="4320"/>
          </w:tcPr>
          <w:p>
            <w:r>
              <w:t>Source</w:t>
            </w:r>
          </w:p>
        </w:tc>
        <w:tc>
          <w:tcPr>
            <w:tcW w:type="dxa" w:w="4320"/>
          </w:tcPr>
          <w:p>
            <w:r>
              <w:t>Canonical</w:t>
            </w:r>
          </w:p>
        </w:tc>
      </w:tr>
      <w:tr>
        <w:tc>
          <w:tcPr>
            <w:tcW w:type="dxa" w:w="4320"/>
          </w:tcPr>
          <w:p>
            <w:r>
              <w:t>productId</w:t>
            </w:r>
          </w:p>
        </w:tc>
        <w:tc>
          <w:tcPr>
            <w:tcW w:type="dxa" w:w="4320"/>
          </w:tcPr>
          <w:p>
            <w:r>
              <w:t>productId</w:t>
            </w:r>
          </w:p>
        </w:tc>
      </w:tr>
      <w:tr>
        <w:tc>
          <w:tcPr>
            <w:tcW w:type="dxa" w:w="4320"/>
          </w:tcPr>
          <w:p>
            <w:r>
              <w:t>categoryId</w:t>
            </w:r>
          </w:p>
        </w:tc>
        <w:tc>
          <w:tcPr>
            <w:tcW w:type="dxa" w:w="4320"/>
          </w:tcPr>
          <w:p>
            <w:r>
              <w:t>categoryId</w:t>
            </w:r>
          </w:p>
        </w:tc>
      </w:tr>
      <w:tr>
        <w:tc>
          <w:tcPr>
            <w:tcW w:type="dxa" w:w="4320"/>
          </w:tcPr>
          <w:p>
            <w:r>
              <w:t>beginDate</w:t>
            </w:r>
          </w:p>
        </w:tc>
        <w:tc>
          <w:tcPr>
            <w:tcW w:type="dxa" w:w="4320"/>
          </w:tcPr>
          <w:p>
            <w:r>
              <w:t>startDate</w:t>
            </w:r>
          </w:p>
        </w:tc>
      </w:tr>
      <w:tr>
        <w:tc>
          <w:tcPr>
            <w:tcW w:type="dxa" w:w="4320"/>
          </w:tcPr>
          <w:p>
            <w:r>
              <w:t>endDate</w:t>
            </w:r>
          </w:p>
        </w:tc>
        <w:tc>
          <w:tcPr>
            <w:tcW w:type="dxa" w:w="4320"/>
          </w:tcPr>
          <w:p>
            <w:r>
              <w:t>endDate</w:t>
            </w:r>
          </w:p>
        </w:tc>
      </w:tr>
      <w:tr>
        <w:tc>
          <w:tcPr>
            <w:tcW w:type="dxa" w:w="4320"/>
          </w:tcPr>
          <w:p>
            <w:r>
              <w:t>minimum</w:t>
            </w:r>
          </w:p>
        </w:tc>
        <w:tc>
          <w:tcPr>
            <w:tcW w:type="dxa" w:w="4320"/>
          </w:tcPr>
          <w:p>
            <w:r>
              <w:t>premium.minimum</w:t>
            </w:r>
          </w:p>
        </w:tc>
      </w:tr>
      <w:tr>
        <w:tc>
          <w:tcPr>
            <w:tcW w:type="dxa" w:w="4320"/>
          </w:tcPr>
          <w:p>
            <w:r>
              <w:t>maximum</w:t>
            </w:r>
          </w:p>
        </w:tc>
        <w:tc>
          <w:tcPr>
            <w:tcW w:type="dxa" w:w="4320"/>
          </w:tcPr>
          <w:p>
            <w:r>
              <w:t>premium.maximum</w:t>
            </w:r>
          </w:p>
        </w:tc>
      </w:tr>
      <w:tr>
        <w:tc>
          <w:tcPr>
            <w:tcW w:type="dxa" w:w="4320"/>
          </w:tcPr>
          <w:p>
            <w:r>
              <w:t>overallStateAvailability</w:t>
            </w:r>
          </w:p>
        </w:tc>
        <w:tc>
          <w:tcPr>
            <w:tcW w:type="dxa" w:w="4320"/>
          </w:tcPr>
          <w:p>
            <w:r>
              <w:t>states</w:t>
            </w:r>
          </w:p>
        </w:tc>
      </w:tr>
      <w:tr>
        <w:tc>
          <w:tcPr>
            <w:tcW w:type="dxa" w:w="4320"/>
          </w:tcPr>
          <w:p>
            <w:r>
              <w:t>intrateter</w:t>
            </w:r>
          </w:p>
        </w:tc>
        <w:tc>
          <w:tcPr>
            <w:tcW w:type="dxa" w:w="4320"/>
          </w:tcPr>
          <w:p>
            <w:r>
              <w:t>term.value</w:t>
            </w:r>
          </w:p>
        </w:tc>
      </w:tr>
      <w:tr>
        <w:tc>
          <w:tcPr>
            <w:tcW w:type="dxa" w:w="4320"/>
          </w:tcPr>
          <w:p>
            <w:r>
              <w:t>termBeginDate</w:t>
            </w:r>
          </w:p>
        </w:tc>
        <w:tc>
          <w:tcPr>
            <w:tcW w:type="dxa" w:w="4320"/>
          </w:tcPr>
          <w:p>
            <w:r>
              <w:t>term.startDate</w:t>
            </w:r>
          </w:p>
        </w:tc>
      </w:tr>
      <w:tr>
        <w:tc>
          <w:tcPr>
            <w:tcW w:type="dxa" w:w="4320"/>
          </w:tcPr>
          <w:p>
            <w:r>
              <w:t>termEndDate</w:t>
            </w:r>
          </w:p>
        </w:tc>
        <w:tc>
          <w:tcPr>
            <w:tcW w:type="dxa" w:w="4320"/>
          </w:tcPr>
          <w:p>
            <w:r>
              <w:t>term.endDate</w:t>
            </w:r>
          </w:p>
        </w:tc>
      </w:tr>
      <w:tr>
        <w:tc>
          <w:tcPr>
            <w:tcW w:type="dxa" w:w="4320"/>
          </w:tcPr>
          <w:p>
            <w:r>
              <w:t>initRate</w:t>
            </w:r>
          </w:p>
        </w:tc>
        <w:tc>
          <w:tcPr>
            <w:tcW w:type="dxa" w:w="4320"/>
          </w:tcPr>
          <w:p>
            <w:r>
              <w:t>rate.value</w:t>
            </w:r>
          </w:p>
        </w:tc>
      </w:tr>
      <w:tr>
        <w:tc>
          <w:tcPr>
            <w:tcW w:type="dxa" w:w="4320"/>
          </w:tcPr>
          <w:p>
            <w:r>
              <w:t>minEffRate</w:t>
            </w:r>
          </w:p>
        </w:tc>
        <w:tc>
          <w:tcPr>
            <w:tcW w:type="dxa" w:w="4320"/>
          </w:tcPr>
          <w:p>
            <w:r>
              <w:t>rate.minimum</w:t>
            </w:r>
          </w:p>
        </w:tc>
      </w:tr>
      <w:tr>
        <w:tc>
          <w:tcPr>
            <w:tcW w:type="dxa" w:w="4320"/>
          </w:tcPr>
          <w:p>
            <w:r>
              <w:t>minGrate</w:t>
            </w:r>
          </w:p>
        </w:tc>
        <w:tc>
          <w:tcPr>
            <w:tcW w:type="dxa" w:w="4320"/>
          </w:tcPr>
          <w:p>
            <w:r>
              <w:t>rate.guaranteed</w:t>
            </w:r>
          </w:p>
        </w:tc>
      </w:tr>
      <w:tr>
        <w:tc>
          <w:tcPr>
            <w:tcW w:type="dxa" w:w="4320"/>
          </w:tcPr>
          <w:p>
            <w:r>
              <w:t>bonusPct</w:t>
            </w:r>
          </w:p>
        </w:tc>
        <w:tc>
          <w:tcPr>
            <w:tcW w:type="dxa" w:w="4320"/>
          </w:tcPr>
          <w:p>
            <w:r>
              <w:t>bonus.value</w:t>
            </w:r>
          </w:p>
        </w:tc>
      </w:tr>
      <w:tr>
        <w:tc>
          <w:tcPr>
            <w:tcW w:type="dxa" w:w="4320"/>
          </w:tcPr>
          <w:p>
            <w:r>
              <w:t>bonusLen</w:t>
            </w:r>
          </w:p>
        </w:tc>
        <w:tc>
          <w:tcPr>
            <w:tcW w:type="dxa" w:w="4320"/>
          </w:tcPr>
          <w:p>
            <w:r>
              <w:t>bonus.term</w:t>
            </w:r>
          </w:p>
        </w:tc>
      </w:tr>
      <w:tr>
        <w:tc>
          <w:tcPr>
            <w:tcW w:type="dxa" w:w="4320"/>
          </w:tcPr>
          <w:p>
            <w:r>
              <w:t>bonusType</w:t>
            </w:r>
          </w:p>
        </w:tc>
        <w:tc>
          <w:tcPr>
            <w:tcW w:type="dxa" w:w="4320"/>
          </w:tcPr>
          <w:p>
            <w:r>
              <w:t>bonus.type</w:t>
            </w:r>
          </w:p>
        </w:tc>
      </w:tr>
      <w:tr>
        <w:tc>
          <w:tcPr>
            <w:tcW w:type="dxa" w:w="4320"/>
          </w:tcPr>
          <w:p>
            <w:r>
              <w:t>prodType</w:t>
            </w:r>
          </w:p>
        </w:tc>
        <w:tc>
          <w:tcPr>
            <w:tcW w:type="dxa" w:w="4320"/>
          </w:tcPr>
          <w:p>
            <w:r>
              <w:t>terms.productType</w:t>
            </w:r>
          </w:p>
        </w:tc>
      </w:tr>
      <w:tr>
        <w:tc>
          <w:tcPr>
            <w:tcW w:type="dxa" w:w="4320"/>
          </w:tcPr>
          <w:p>
            <w:r>
              <w:t>intType</w:t>
            </w:r>
          </w:p>
        </w:tc>
        <w:tc>
          <w:tcPr>
            <w:tcW w:type="dxa" w:w="4320"/>
          </w:tcPr>
          <w:p>
            <w:r>
              <w:t>terms.interestType</w:t>
            </w:r>
          </w:p>
        </w:tc>
      </w:tr>
      <w:tr>
        <w:tc>
          <w:tcPr>
            <w:tcW w:type="dxa" w:w="4320"/>
          </w:tcPr>
          <w:p>
            <w:r>
              <w:t>mva</w:t>
            </w:r>
          </w:p>
        </w:tc>
        <w:tc>
          <w:tcPr>
            <w:tcW w:type="dxa" w:w="4320"/>
          </w:tcPr>
          <w:p>
            <w:r>
              <w:t>terms.mva</w:t>
            </w:r>
          </w:p>
        </w:tc>
      </w:tr>
      <w:tr>
        <w:tc>
          <w:tcPr>
            <w:tcW w:type="dxa" w:w="4320"/>
          </w:tcPr>
          <w:p>
            <w:r>
              <w:t>rop</w:t>
            </w:r>
          </w:p>
        </w:tc>
        <w:tc>
          <w:tcPr>
            <w:tcW w:type="dxa" w:w="4320"/>
          </w:tcPr>
          <w:p>
            <w:r>
              <w:t>terms.rop</w:t>
            </w:r>
          </w:p>
        </w:tc>
      </w:tr>
      <w:tr>
        <w:tc>
          <w:tcPr>
            <w:tcW w:type="dxa" w:w="4320"/>
          </w:tcPr>
          <w:p>
            <w:r>
              <w:t>qualifier</w:t>
            </w:r>
          </w:p>
        </w:tc>
        <w:tc>
          <w:tcPr>
            <w:tcW w:type="dxa" w:w="4320"/>
          </w:tcPr>
          <w:p>
            <w:r>
              <w:t>terms.qualifier</w:t>
            </w:r>
          </w:p>
        </w:tc>
      </w:tr>
      <w:tr>
        <w:tc>
          <w:tcPr>
            <w:tcW w:type="dxa" w:w="4320"/>
          </w:tcPr>
          <w:p>
            <w:r>
              <w:t>bailOutRate</w:t>
            </w:r>
          </w:p>
        </w:tc>
        <w:tc>
          <w:tcPr>
            <w:tcW w:type="dxa" w:w="4320"/>
          </w:tcPr>
          <w:p>
            <w:r>
              <w:t>terms.bailoutRate</w:t>
            </w:r>
          </w:p>
        </w:tc>
      </w:tr>
      <w:tr>
        <w:tc>
          <w:tcPr>
            <w:tcW w:type="dxa" w:w="4320"/>
          </w:tcPr>
          <w:p>
            <w:r>
              <w:t>surrExpDate</w:t>
            </w:r>
          </w:p>
        </w:tc>
        <w:tc>
          <w:tcPr>
            <w:tcW w:type="dxa" w:w="4320"/>
          </w:tcPr>
          <w:p>
            <w:r>
              <w:t>terms.surrenderExpirationDate</w:t>
            </w:r>
          </w:p>
        </w:tc>
      </w:tr>
      <w:tr>
        <w:tc>
          <w:tcPr>
            <w:tcW w:type="dxa" w:w="4320"/>
          </w:tcPr>
          <w:p>
            <w:r>
              <w:t>surrId</w:t>
            </w:r>
          </w:p>
        </w:tc>
        <w:tc>
          <w:tcPr>
            <w:tcW w:type="dxa" w:w="4320"/>
          </w:tcPr>
          <w:p>
            <w:r>
              <w:t>terms.surrenderId</w:t>
            </w:r>
          </w:p>
        </w:tc>
      </w:tr>
      <w:tr>
        <w:tc>
          <w:tcPr>
            <w:tcW w:type="dxa" w:w="4320"/>
          </w:tcPr>
          <w:p>
            <w:r>
              <w:t>surrIncDate</w:t>
            </w:r>
          </w:p>
        </w:tc>
        <w:tc>
          <w:tcPr>
            <w:tcW w:type="dxa" w:w="4320"/>
          </w:tcPr>
          <w:p>
            <w:r>
              <w:t>terms.surrenderIncreaseDate</w:t>
            </w:r>
          </w:p>
        </w:tc>
      </w:tr>
      <w:tr>
        <w:tc>
          <w:tcPr>
            <w:tcW w:type="dxa" w:w="4320"/>
          </w:tcPr>
          <w:p>
            <w:r>
              <w:t>surrYr</w:t>
            </w:r>
          </w:p>
        </w:tc>
        <w:tc>
          <w:tcPr>
            <w:tcW w:type="dxa" w:w="4320"/>
          </w:tcPr>
          <w:p>
            <w:r>
              <w:t>terms.surrenderYear</w:t>
            </w:r>
          </w:p>
        </w:tc>
      </w:tr>
    </w:tbl>
    <w:p>
      <w:r>
        <w:t>Source-specific/technical fields not represented in the canonical model include rowId, bandId, blockId, schedId, varId, urn, and source audit fields. Bonus dates can remain in terms if they need to be retained.</w:t>
      </w:r>
    </w:p>
    <w:p>
      <w:pPr>
        <w:pStyle w:val="Heading1"/>
      </w:pPr>
      <w:r>
        <w:t>4. Indexed Mapping</w:t>
      </w:r>
    </w:p>
    <w:tbl>
      <w:tblPr>
        <w:tblStyle w:val="TableGrid"/>
        <w:tblW w:type="auto" w:w="0"/>
        <w:tblLook w:firstColumn="1" w:firstRow="1" w:lastColumn="0" w:lastRow="0" w:noHBand="0" w:noVBand="1" w:val="04A0"/>
      </w:tblPr>
      <w:tblGrid>
        <w:gridCol w:w="4320"/>
        <w:gridCol w:w="4320"/>
      </w:tblGrid>
      <w:tr>
        <w:tc>
          <w:tcPr>
            <w:tcW w:type="dxa" w:w="4320"/>
          </w:tcPr>
          <w:p>
            <w:r>
              <w:t>Source</w:t>
            </w:r>
          </w:p>
        </w:tc>
        <w:tc>
          <w:tcPr>
            <w:tcW w:type="dxa" w:w="4320"/>
          </w:tcPr>
          <w:p>
            <w:r>
              <w:t>Canonical</w:t>
            </w:r>
          </w:p>
        </w:tc>
      </w:tr>
      <w:tr>
        <w:tc>
          <w:tcPr>
            <w:tcW w:type="dxa" w:w="4320"/>
          </w:tcPr>
          <w:p>
            <w:r>
              <w:t>productId</w:t>
            </w:r>
          </w:p>
        </w:tc>
        <w:tc>
          <w:tcPr>
            <w:tcW w:type="dxa" w:w="4320"/>
          </w:tcPr>
          <w:p>
            <w:r>
              <w:t>productId</w:t>
            </w:r>
          </w:p>
        </w:tc>
      </w:tr>
      <w:tr>
        <w:tc>
          <w:tcPr>
            <w:tcW w:type="dxa" w:w="4320"/>
          </w:tcPr>
          <w:p>
            <w:r>
              <w:t>categoryId</w:t>
            </w:r>
          </w:p>
        </w:tc>
        <w:tc>
          <w:tcPr>
            <w:tcW w:type="dxa" w:w="4320"/>
          </w:tcPr>
          <w:p>
            <w:r>
              <w:t>categoryId</w:t>
            </w:r>
          </w:p>
        </w:tc>
      </w:tr>
      <w:tr>
        <w:tc>
          <w:tcPr>
            <w:tcW w:type="dxa" w:w="4320"/>
          </w:tcPr>
          <w:p>
            <w:r>
              <w:t>beginDate</w:t>
            </w:r>
          </w:p>
        </w:tc>
        <w:tc>
          <w:tcPr>
            <w:tcW w:type="dxa" w:w="4320"/>
          </w:tcPr>
          <w:p>
            <w:r>
              <w:t>startDate</w:t>
            </w:r>
          </w:p>
        </w:tc>
      </w:tr>
      <w:tr>
        <w:tc>
          <w:tcPr>
            <w:tcW w:type="dxa" w:w="4320"/>
          </w:tcPr>
          <w:p>
            <w:r>
              <w:t>endDate</w:t>
            </w:r>
          </w:p>
        </w:tc>
        <w:tc>
          <w:tcPr>
            <w:tcW w:type="dxa" w:w="4320"/>
          </w:tcPr>
          <w:p>
            <w:r>
              <w:t>endDate</w:t>
            </w:r>
          </w:p>
        </w:tc>
      </w:tr>
      <w:tr>
        <w:tc>
          <w:tcPr>
            <w:tcW w:type="dxa" w:w="4320"/>
          </w:tcPr>
          <w:p>
            <w:r>
              <w:t>marketingName</w:t>
            </w:r>
          </w:p>
        </w:tc>
        <w:tc>
          <w:tcPr>
            <w:tcW w:type="dxa" w:w="4320"/>
          </w:tcPr>
          <w:p>
            <w:r>
              <w:t>name</w:t>
            </w:r>
          </w:p>
        </w:tc>
      </w:tr>
      <w:tr>
        <w:tc>
          <w:tcPr>
            <w:tcW w:type="dxa" w:w="4320"/>
          </w:tcPr>
          <w:p>
            <w:r>
              <w:t>description</w:t>
            </w:r>
          </w:p>
        </w:tc>
        <w:tc>
          <w:tcPr>
            <w:tcW w:type="dxa" w:w="4320"/>
          </w:tcPr>
          <w:p>
            <w:r>
              <w:t>description</w:t>
            </w:r>
          </w:p>
        </w:tc>
      </w:tr>
      <w:tr>
        <w:tc>
          <w:tcPr>
            <w:tcW w:type="dxa" w:w="4320"/>
          </w:tcPr>
          <w:p>
            <w:r>
              <w:t>minimum</w:t>
            </w:r>
          </w:p>
        </w:tc>
        <w:tc>
          <w:tcPr>
            <w:tcW w:type="dxa" w:w="4320"/>
          </w:tcPr>
          <w:p>
            <w:r>
              <w:t>premium.minimum</w:t>
            </w:r>
          </w:p>
        </w:tc>
      </w:tr>
      <w:tr>
        <w:tc>
          <w:tcPr>
            <w:tcW w:type="dxa" w:w="4320"/>
          </w:tcPr>
          <w:p>
            <w:r>
              <w:t>maximum</w:t>
            </w:r>
          </w:p>
        </w:tc>
        <w:tc>
          <w:tcPr>
            <w:tcW w:type="dxa" w:w="4320"/>
          </w:tcPr>
          <w:p>
            <w:r>
              <w:t>premium.maximum</w:t>
            </w:r>
          </w:p>
        </w:tc>
      </w:tr>
      <w:tr>
        <w:tc>
          <w:tcPr>
            <w:tcW w:type="dxa" w:w="4320"/>
          </w:tcPr>
          <w:p>
            <w:r>
              <w:t>overallStateAvailability</w:t>
            </w:r>
          </w:p>
        </w:tc>
        <w:tc>
          <w:tcPr>
            <w:tcW w:type="dxa" w:w="4320"/>
          </w:tcPr>
          <w:p>
            <w:r>
              <w:t>states</w:t>
            </w:r>
          </w:p>
        </w:tc>
      </w:tr>
      <w:tr>
        <w:tc>
          <w:tcPr>
            <w:tcW w:type="dxa" w:w="4320"/>
          </w:tcPr>
          <w:p>
            <w:r>
              <w:t>creditingFrequency</w:t>
            </w:r>
          </w:p>
        </w:tc>
        <w:tc>
          <w:tcPr>
            <w:tcW w:type="dxa" w:w="4320"/>
          </w:tcPr>
          <w:p>
            <w:r>
              <w:t>creditingFrequency</w:t>
            </w:r>
          </w:p>
        </w:tc>
      </w:tr>
      <w:tr>
        <w:tc>
          <w:tcPr>
            <w:tcW w:type="dxa" w:w="4320"/>
          </w:tcPr>
          <w:p>
            <w:r>
              <w:t>creditStrategy / strategyName</w:t>
            </w:r>
          </w:p>
        </w:tc>
        <w:tc>
          <w:tcPr>
            <w:tcW w:type="dxa" w:w="4320"/>
          </w:tcPr>
          <w:p>
            <w:r>
              <w:t>strategyId (lookup)</w:t>
            </w:r>
          </w:p>
        </w:tc>
      </w:tr>
      <w:tr>
        <w:tc>
          <w:tcPr>
            <w:tcW w:type="dxa" w:w="4320"/>
          </w:tcPr>
          <w:p>
            <w:r>
              <w:t>index</w:t>
            </w:r>
          </w:p>
        </w:tc>
        <w:tc>
          <w:tcPr>
            <w:tcW w:type="dxa" w:w="4320"/>
          </w:tcPr>
          <w:p>
            <w:r>
              <w:t>marketIndexId (lookup)</w:t>
            </w:r>
          </w:p>
        </w:tc>
      </w:tr>
      <w:tr>
        <w:tc>
          <w:tcPr>
            <w:tcW w:type="dxa" w:w="4320"/>
          </w:tcPr>
          <w:p>
            <w:r>
              <w:t>fixedRate</w:t>
            </w:r>
          </w:p>
        </w:tc>
        <w:tc>
          <w:tcPr>
            <w:tcW w:type="dxa" w:w="4320"/>
          </w:tcPr>
          <w:p>
            <w:r>
              <w:t>rate.value</w:t>
            </w:r>
          </w:p>
        </w:tc>
      </w:tr>
      <w:tr>
        <w:tc>
          <w:tcPr>
            <w:tcW w:type="dxa" w:w="4320"/>
          </w:tcPr>
          <w:p>
            <w:r>
              <w:t>minFixedRate</w:t>
            </w:r>
          </w:p>
        </w:tc>
        <w:tc>
          <w:tcPr>
            <w:tcW w:type="dxa" w:w="4320"/>
          </w:tcPr>
          <w:p>
            <w:r>
              <w:t>rate.minimum</w:t>
            </w:r>
          </w:p>
        </w:tc>
      </w:tr>
      <w:tr>
        <w:tc>
          <w:tcPr>
            <w:tcW w:type="dxa" w:w="4320"/>
          </w:tcPr>
          <w:p>
            <w:r>
              <w:t>minimumGuaranteedRate1</w:t>
            </w:r>
          </w:p>
        </w:tc>
        <w:tc>
          <w:tcPr>
            <w:tcW w:type="dxa" w:w="4320"/>
          </w:tcPr>
          <w:p>
            <w:r>
              <w:t>rate.guaranteed, only if canonical</w:t>
            </w:r>
          </w:p>
        </w:tc>
      </w:tr>
      <w:tr>
        <w:tc>
          <w:tcPr>
            <w:tcW w:type="dxa" w:w="4320"/>
          </w:tcPr>
          <w:p>
            <w:r>
              <w:t>capRate</w:t>
            </w:r>
          </w:p>
        </w:tc>
        <w:tc>
          <w:tcPr>
            <w:tcW w:type="dxa" w:w="4320"/>
          </w:tcPr>
          <w:p>
            <w:r>
              <w:t>cap.value</w:t>
            </w:r>
          </w:p>
        </w:tc>
      </w:tr>
      <w:tr>
        <w:tc>
          <w:tcPr>
            <w:tcW w:type="dxa" w:w="4320"/>
          </w:tcPr>
          <w:p>
            <w:r>
              <w:t>capMinimum</w:t>
            </w:r>
          </w:p>
        </w:tc>
        <w:tc>
          <w:tcPr>
            <w:tcW w:type="dxa" w:w="4320"/>
          </w:tcPr>
          <w:p>
            <w:r>
              <w:t>cap.minimum</w:t>
            </w:r>
          </w:p>
        </w:tc>
      </w:tr>
      <w:tr>
        <w:tc>
          <w:tcPr>
            <w:tcW w:type="dxa" w:w="4320"/>
          </w:tcPr>
          <w:p>
            <w:r>
              <w:t>capBail</w:t>
            </w:r>
          </w:p>
        </w:tc>
        <w:tc>
          <w:tcPr>
            <w:tcW w:type="dxa" w:w="4320"/>
          </w:tcPr>
          <w:p>
            <w:r>
              <w:t>cap.bailout</w:t>
            </w:r>
          </w:p>
        </w:tc>
      </w:tr>
      <w:tr>
        <w:tc>
          <w:tcPr>
            <w:tcW w:type="dxa" w:w="4320"/>
          </w:tcPr>
          <w:p>
            <w:r>
              <w:t>floor</w:t>
            </w:r>
          </w:p>
        </w:tc>
        <w:tc>
          <w:tcPr>
            <w:tcW w:type="dxa" w:w="4320"/>
          </w:tcPr>
          <w:p>
            <w:r>
              <w:t>floor</w:t>
            </w:r>
          </w:p>
        </w:tc>
      </w:tr>
      <w:tr>
        <w:tc>
          <w:tcPr>
            <w:tcW w:type="dxa" w:w="4320"/>
          </w:tcPr>
          <w:p>
            <w:r>
              <w:t>spreadRate</w:t>
            </w:r>
          </w:p>
        </w:tc>
        <w:tc>
          <w:tcPr>
            <w:tcW w:type="dxa" w:w="4320"/>
          </w:tcPr>
          <w:p>
            <w:r>
              <w:t>spread.value</w:t>
            </w:r>
          </w:p>
        </w:tc>
      </w:tr>
      <w:tr>
        <w:tc>
          <w:tcPr>
            <w:tcW w:type="dxa" w:w="4320"/>
          </w:tcPr>
          <w:p>
            <w:r>
              <w:t>spreadMaximum</w:t>
            </w:r>
          </w:p>
        </w:tc>
        <w:tc>
          <w:tcPr>
            <w:tcW w:type="dxa" w:w="4320"/>
          </w:tcPr>
          <w:p>
            <w:r>
              <w:t>spread.maximum</w:t>
            </w:r>
          </w:p>
        </w:tc>
      </w:tr>
      <w:tr>
        <w:tc>
          <w:tcPr>
            <w:tcW w:type="dxa" w:w="4320"/>
          </w:tcPr>
          <w:p>
            <w:r>
              <w:t>participationRate</w:t>
            </w:r>
          </w:p>
        </w:tc>
        <w:tc>
          <w:tcPr>
            <w:tcW w:type="dxa" w:w="4320"/>
          </w:tcPr>
          <w:p>
            <w:r>
              <w:t>participation.value</w:t>
            </w:r>
          </w:p>
        </w:tc>
      </w:tr>
      <w:tr>
        <w:tc>
          <w:tcPr>
            <w:tcW w:type="dxa" w:w="4320"/>
          </w:tcPr>
          <w:p>
            <w:r>
              <w:t>participationRateMinimum</w:t>
            </w:r>
          </w:p>
        </w:tc>
        <w:tc>
          <w:tcPr>
            <w:tcW w:type="dxa" w:w="4320"/>
          </w:tcPr>
          <w:p>
            <w:r>
              <w:t>participation.minimum</w:t>
            </w:r>
          </w:p>
        </w:tc>
      </w:tr>
      <w:tr>
        <w:tc>
          <w:tcPr>
            <w:tcW w:type="dxa" w:w="4320"/>
          </w:tcPr>
          <w:p>
            <w:r>
              <w:t>participationRateBailout</w:t>
            </w:r>
          </w:p>
        </w:tc>
        <w:tc>
          <w:tcPr>
            <w:tcW w:type="dxa" w:w="4320"/>
          </w:tcPr>
          <w:p>
            <w:r>
              <w:t>participation.bailout</w:t>
            </w:r>
          </w:p>
        </w:tc>
      </w:tr>
      <w:tr>
        <w:tc>
          <w:tcPr>
            <w:tcW w:type="dxa" w:w="4320"/>
          </w:tcPr>
          <w:p>
            <w:r>
              <w:t>performanceTrigger</w:t>
            </w:r>
          </w:p>
        </w:tc>
        <w:tc>
          <w:tcPr>
            <w:tcW w:type="dxa" w:w="4320"/>
          </w:tcPr>
          <w:p>
            <w:r>
              <w:t>trigger.value</w:t>
            </w:r>
          </w:p>
        </w:tc>
      </w:tr>
      <w:tr>
        <w:tc>
          <w:tcPr>
            <w:tcW w:type="dxa" w:w="4320"/>
          </w:tcPr>
          <w:p>
            <w:r>
              <w:t>performanceTriggerRate</w:t>
            </w:r>
          </w:p>
        </w:tc>
        <w:tc>
          <w:tcPr>
            <w:tcW w:type="dxa" w:w="4320"/>
          </w:tcPr>
          <w:p>
            <w:r>
              <w:t>trigger.rate</w:t>
            </w:r>
          </w:p>
        </w:tc>
      </w:tr>
      <w:tr>
        <w:tc>
          <w:tcPr>
            <w:tcW w:type="dxa" w:w="4320"/>
          </w:tcPr>
          <w:p>
            <w:r>
              <w:t>performanceTriggerMinimumCredit</w:t>
            </w:r>
          </w:p>
        </w:tc>
        <w:tc>
          <w:tcPr>
            <w:tcW w:type="dxa" w:w="4320"/>
          </w:tcPr>
          <w:p>
            <w:r>
              <w:t>minimumCredit</w:t>
            </w:r>
          </w:p>
        </w:tc>
      </w:tr>
      <w:tr>
        <w:tc>
          <w:tcPr>
            <w:tcW w:type="dxa" w:w="4320"/>
          </w:tcPr>
          <w:p>
            <w:r>
              <w:t>tickerSymbol</w:t>
            </w:r>
          </w:p>
        </w:tc>
        <w:tc>
          <w:tcPr>
            <w:tcW w:type="dxa" w:w="4320"/>
          </w:tcPr>
          <w:p>
            <w:r>
              <w:t>terms.tickerSymbol</w:t>
            </w:r>
          </w:p>
        </w:tc>
      </w:tr>
      <w:tr>
        <w:tc>
          <w:tcPr>
            <w:tcW w:type="dxa" w:w="4320"/>
          </w:tcPr>
          <w:p>
            <w:r>
              <w:t>rop</w:t>
            </w:r>
          </w:p>
        </w:tc>
        <w:tc>
          <w:tcPr>
            <w:tcW w:type="dxa" w:w="4320"/>
          </w:tcPr>
          <w:p>
            <w:r>
              <w:t>terms.rop</w:t>
            </w:r>
          </w:p>
        </w:tc>
      </w:tr>
      <w:tr>
        <w:tc>
          <w:tcPr>
            <w:tcW w:type="dxa" w:w="4320"/>
          </w:tcPr>
          <w:p>
            <w:r>
              <w:t>rebalanceFixedAllocation</w:t>
            </w:r>
          </w:p>
        </w:tc>
        <w:tc>
          <w:tcPr>
            <w:tcW w:type="dxa" w:w="4320"/>
          </w:tcPr>
          <w:p>
            <w:r>
              <w:t>terms.rebalanceFixedAllocation</w:t>
            </w:r>
          </w:p>
        </w:tc>
      </w:tr>
      <w:tr>
        <w:tc>
          <w:tcPr>
            <w:tcW w:type="dxa" w:w="4320"/>
          </w:tcPr>
          <w:p>
            <w:r>
              <w:t>rebalanceFixedRate</w:t>
            </w:r>
          </w:p>
        </w:tc>
        <w:tc>
          <w:tcPr>
            <w:tcW w:type="dxa" w:w="4320"/>
          </w:tcPr>
          <w:p>
            <w:r>
              <w:t>terms.rebalanceFixedRate</w:t>
            </w:r>
          </w:p>
        </w:tc>
      </w:tr>
      <w:tr>
        <w:tc>
          <w:tcPr>
            <w:tcW w:type="dxa" w:w="4320"/>
          </w:tcPr>
          <w:p>
            <w:r>
              <w:t>rebalanceIndexAllocation</w:t>
            </w:r>
          </w:p>
        </w:tc>
        <w:tc>
          <w:tcPr>
            <w:tcW w:type="dxa" w:w="4320"/>
          </w:tcPr>
          <w:p>
            <w:r>
              <w:t>terms.rebalanceIndexAllocation</w:t>
            </w:r>
          </w:p>
        </w:tc>
      </w:tr>
      <w:tr>
        <w:tc>
          <w:tcPr>
            <w:tcW w:type="dxa" w:w="4320"/>
          </w:tcPr>
          <w:p>
            <w:r>
              <w:t>minimumGuaranteedRate2</w:t>
            </w:r>
          </w:p>
        </w:tc>
        <w:tc>
          <w:tcPr>
            <w:tcW w:type="dxa" w:w="4320"/>
          </w:tcPr>
          <w:p>
            <w:r>
              <w:t>terms.minimumGuaranteedRate2</w:t>
            </w:r>
          </w:p>
        </w:tc>
      </w:tr>
      <w:tr>
        <w:tc>
          <w:tcPr>
            <w:tcW w:type="dxa" w:w="4320"/>
          </w:tcPr>
          <w:p>
            <w:r>
              <w:t>minimumInitialGuaranteePercent1/2</w:t>
            </w:r>
          </w:p>
        </w:tc>
        <w:tc>
          <w:tcPr>
            <w:tcW w:type="dxa" w:w="4320"/>
          </w:tcPr>
          <w:p>
            <w:r>
              <w:t>terms.minimumInitialGuaranteePercent1/2</w:t>
            </w:r>
          </w:p>
        </w:tc>
      </w:tr>
      <w:tr>
        <w:tc>
          <w:tcPr>
            <w:tcW w:type="dxa" w:w="4320"/>
          </w:tcPr>
          <w:p>
            <w:r>
              <w:t>gmirCode1/2</w:t>
            </w:r>
          </w:p>
        </w:tc>
        <w:tc>
          <w:tcPr>
            <w:tcW w:type="dxa" w:w="4320"/>
          </w:tcPr>
          <w:p>
            <w:r>
              <w:t>terms.gmirCode1/2</w:t>
            </w:r>
          </w:p>
        </w:tc>
      </w:tr>
      <w:tr>
        <w:tc>
          <w:tcPr>
            <w:tcW w:type="dxa" w:w="4320"/>
          </w:tcPr>
          <w:p>
            <w:r>
              <w:t>gmirStateAvailability1/2</w:t>
            </w:r>
          </w:p>
        </w:tc>
        <w:tc>
          <w:tcPr>
            <w:tcW w:type="dxa" w:w="4320"/>
          </w:tcPr>
          <w:p>
            <w:r>
              <w:t>terms.gmirStateAvailability1/2</w:t>
            </w:r>
          </w:p>
        </w:tc>
      </w:tr>
    </w:tbl>
    <w:p>
      <w:r>
        <w:t>Do not automatically map perChangeTerm to term.value until its business meaning is established; source records show it can differ from creditingFrequency.</w:t>
      </w:r>
    </w:p>
    <w:p>
      <w:pPr>
        <w:pStyle w:val="Heading1"/>
      </w:pPr>
      <w:r>
        <w:t>5. RILA Mapping</w:t>
      </w:r>
    </w:p>
    <w:tbl>
      <w:tblPr>
        <w:tblStyle w:val="TableGrid"/>
        <w:tblW w:type="auto" w:w="0"/>
        <w:tblLook w:firstColumn="1" w:firstRow="1" w:lastColumn="0" w:lastRow="0" w:noHBand="0" w:noVBand="1" w:val="04A0"/>
      </w:tblPr>
      <w:tblGrid>
        <w:gridCol w:w="4320"/>
        <w:gridCol w:w="4320"/>
      </w:tblGrid>
      <w:tr>
        <w:tc>
          <w:tcPr>
            <w:tcW w:type="dxa" w:w="4320"/>
          </w:tcPr>
          <w:p>
            <w:r>
              <w:t>Source</w:t>
            </w:r>
          </w:p>
        </w:tc>
        <w:tc>
          <w:tcPr>
            <w:tcW w:type="dxa" w:w="4320"/>
          </w:tcPr>
          <w:p>
            <w:r>
              <w:t>Canonical</w:t>
            </w:r>
          </w:p>
        </w:tc>
      </w:tr>
      <w:tr>
        <w:tc>
          <w:tcPr>
            <w:tcW w:type="dxa" w:w="4320"/>
          </w:tcPr>
          <w:p>
            <w:r>
              <w:t>productId</w:t>
            </w:r>
          </w:p>
        </w:tc>
        <w:tc>
          <w:tcPr>
            <w:tcW w:type="dxa" w:w="4320"/>
          </w:tcPr>
          <w:p>
            <w:r>
              <w:t>productId</w:t>
            </w:r>
          </w:p>
        </w:tc>
      </w:tr>
      <w:tr>
        <w:tc>
          <w:tcPr>
            <w:tcW w:type="dxa" w:w="4320"/>
          </w:tcPr>
          <w:p>
            <w:r>
              <w:t>categoryId</w:t>
            </w:r>
          </w:p>
        </w:tc>
        <w:tc>
          <w:tcPr>
            <w:tcW w:type="dxa" w:w="4320"/>
          </w:tcPr>
          <w:p>
            <w:r>
              <w:t>categoryId</w:t>
            </w:r>
          </w:p>
        </w:tc>
      </w:tr>
      <w:tr>
        <w:tc>
          <w:tcPr>
            <w:tcW w:type="dxa" w:w="4320"/>
          </w:tcPr>
          <w:p>
            <w:r>
              <w:t>beginDate</w:t>
            </w:r>
          </w:p>
        </w:tc>
        <w:tc>
          <w:tcPr>
            <w:tcW w:type="dxa" w:w="4320"/>
          </w:tcPr>
          <w:p>
            <w:r>
              <w:t>startDate</w:t>
            </w:r>
          </w:p>
        </w:tc>
      </w:tr>
      <w:tr>
        <w:tc>
          <w:tcPr>
            <w:tcW w:type="dxa" w:w="4320"/>
          </w:tcPr>
          <w:p>
            <w:r>
              <w:t>endDate</w:t>
            </w:r>
          </w:p>
        </w:tc>
        <w:tc>
          <w:tcPr>
            <w:tcW w:type="dxa" w:w="4320"/>
          </w:tcPr>
          <w:p>
            <w:r>
              <w:t>endDate</w:t>
            </w:r>
          </w:p>
        </w:tc>
      </w:tr>
      <w:tr>
        <w:tc>
          <w:tcPr>
            <w:tcW w:type="dxa" w:w="4320"/>
          </w:tcPr>
          <w:p>
            <w:r>
              <w:t>marketingName</w:t>
            </w:r>
          </w:p>
        </w:tc>
        <w:tc>
          <w:tcPr>
            <w:tcW w:type="dxa" w:w="4320"/>
          </w:tcPr>
          <w:p>
            <w:r>
              <w:t>name</w:t>
            </w:r>
          </w:p>
        </w:tc>
      </w:tr>
      <w:tr>
        <w:tc>
          <w:tcPr>
            <w:tcW w:type="dxa" w:w="4320"/>
          </w:tcPr>
          <w:p>
            <w:r>
              <w:t>description</w:t>
            </w:r>
          </w:p>
        </w:tc>
        <w:tc>
          <w:tcPr>
            <w:tcW w:type="dxa" w:w="4320"/>
          </w:tcPr>
          <w:p>
            <w:r>
              <w:t>description</w:t>
            </w:r>
          </w:p>
        </w:tc>
      </w:tr>
      <w:tr>
        <w:tc>
          <w:tcPr>
            <w:tcW w:type="dxa" w:w="4320"/>
          </w:tcPr>
          <w:p>
            <w:r>
              <w:t>minimum</w:t>
            </w:r>
          </w:p>
        </w:tc>
        <w:tc>
          <w:tcPr>
            <w:tcW w:type="dxa" w:w="4320"/>
          </w:tcPr>
          <w:p>
            <w:r>
              <w:t>premium.minimum</w:t>
            </w:r>
          </w:p>
        </w:tc>
      </w:tr>
      <w:tr>
        <w:tc>
          <w:tcPr>
            <w:tcW w:type="dxa" w:w="4320"/>
          </w:tcPr>
          <w:p>
            <w:r>
              <w:t>maximum</w:t>
            </w:r>
          </w:p>
        </w:tc>
        <w:tc>
          <w:tcPr>
            <w:tcW w:type="dxa" w:w="4320"/>
          </w:tcPr>
          <w:p>
            <w:r>
              <w:t>premium.maximum</w:t>
            </w:r>
          </w:p>
        </w:tc>
      </w:tr>
      <w:tr>
        <w:tc>
          <w:tcPr>
            <w:tcW w:type="dxa" w:w="4320"/>
          </w:tcPr>
          <w:p>
            <w:r>
              <w:t>overallStateAvailability</w:t>
            </w:r>
          </w:p>
        </w:tc>
        <w:tc>
          <w:tcPr>
            <w:tcW w:type="dxa" w:w="4320"/>
          </w:tcPr>
          <w:p>
            <w:r>
              <w:t>states</w:t>
            </w:r>
          </w:p>
        </w:tc>
      </w:tr>
      <w:tr>
        <w:tc>
          <w:tcPr>
            <w:tcW w:type="dxa" w:w="4320"/>
          </w:tcPr>
          <w:p>
            <w:r>
              <w:t>creditStrategy</w:t>
            </w:r>
          </w:p>
        </w:tc>
        <w:tc>
          <w:tcPr>
            <w:tcW w:type="dxa" w:w="4320"/>
          </w:tcPr>
          <w:p>
            <w:r>
              <w:t>strategyId (lookup)</w:t>
            </w:r>
          </w:p>
        </w:tc>
      </w:tr>
      <w:tr>
        <w:tc>
          <w:tcPr>
            <w:tcW w:type="dxa" w:w="4320"/>
          </w:tcPr>
          <w:p>
            <w:r>
              <w:t>creditingFrequency</w:t>
            </w:r>
          </w:p>
        </w:tc>
        <w:tc>
          <w:tcPr>
            <w:tcW w:type="dxa" w:w="4320"/>
          </w:tcPr>
          <w:p>
            <w:r>
              <w:t>creditingFrequency</w:t>
            </w:r>
          </w:p>
        </w:tc>
      </w:tr>
      <w:tr>
        <w:tc>
          <w:tcPr>
            <w:tcW w:type="dxa" w:w="4320"/>
          </w:tcPr>
          <w:p>
            <w:r>
              <w:t>index</w:t>
            </w:r>
          </w:p>
        </w:tc>
        <w:tc>
          <w:tcPr>
            <w:tcW w:type="dxa" w:w="4320"/>
          </w:tcPr>
          <w:p>
            <w:r>
              <w:t>marketIndexId (lookup)</w:t>
            </w:r>
          </w:p>
        </w:tc>
      </w:tr>
      <w:tr>
        <w:tc>
          <w:tcPr>
            <w:tcW w:type="dxa" w:w="4320"/>
          </w:tcPr>
          <w:p>
            <w:r>
              <w:t>fixedRate</w:t>
            </w:r>
          </w:p>
        </w:tc>
        <w:tc>
          <w:tcPr>
            <w:tcW w:type="dxa" w:w="4320"/>
          </w:tcPr>
          <w:p>
            <w:r>
              <w:t>rate.value</w:t>
            </w:r>
          </w:p>
        </w:tc>
      </w:tr>
      <w:tr>
        <w:tc>
          <w:tcPr>
            <w:tcW w:type="dxa" w:w="4320"/>
          </w:tcPr>
          <w:p>
            <w:r>
              <w:t>minFixedRate</w:t>
            </w:r>
          </w:p>
        </w:tc>
        <w:tc>
          <w:tcPr>
            <w:tcW w:type="dxa" w:w="4320"/>
          </w:tcPr>
          <w:p>
            <w:r>
              <w:t>rate.minimum</w:t>
            </w:r>
          </w:p>
        </w:tc>
      </w:tr>
      <w:tr>
        <w:tc>
          <w:tcPr>
            <w:tcW w:type="dxa" w:w="4320"/>
          </w:tcPr>
          <w:p>
            <w:r>
              <w:t>capRate</w:t>
            </w:r>
          </w:p>
        </w:tc>
        <w:tc>
          <w:tcPr>
            <w:tcW w:type="dxa" w:w="4320"/>
          </w:tcPr>
          <w:p>
            <w:r>
              <w:t>cap.value</w:t>
            </w:r>
          </w:p>
        </w:tc>
      </w:tr>
      <w:tr>
        <w:tc>
          <w:tcPr>
            <w:tcW w:type="dxa" w:w="4320"/>
          </w:tcPr>
          <w:p>
            <w:r>
              <w:t>capMinimum</w:t>
            </w:r>
          </w:p>
        </w:tc>
        <w:tc>
          <w:tcPr>
            <w:tcW w:type="dxa" w:w="4320"/>
          </w:tcPr>
          <w:p>
            <w:r>
              <w:t>cap.minimum</w:t>
            </w:r>
          </w:p>
        </w:tc>
      </w:tr>
      <w:tr>
        <w:tc>
          <w:tcPr>
            <w:tcW w:type="dxa" w:w="4320"/>
          </w:tcPr>
          <w:p>
            <w:r>
              <w:t>capBail</w:t>
            </w:r>
          </w:p>
        </w:tc>
        <w:tc>
          <w:tcPr>
            <w:tcW w:type="dxa" w:w="4320"/>
          </w:tcPr>
          <w:p>
            <w:r>
              <w:t>cap.bailout</w:t>
            </w:r>
          </w:p>
        </w:tc>
      </w:tr>
      <w:tr>
        <w:tc>
          <w:tcPr>
            <w:tcW w:type="dxa" w:w="4320"/>
          </w:tcPr>
          <w:p>
            <w:r>
              <w:t>buffer</w:t>
            </w:r>
          </w:p>
        </w:tc>
        <w:tc>
          <w:tcPr>
            <w:tcW w:type="dxa" w:w="4320"/>
          </w:tcPr>
          <w:p>
            <w:r>
              <w:t>buffer</w:t>
            </w:r>
          </w:p>
        </w:tc>
      </w:tr>
      <w:tr>
        <w:tc>
          <w:tcPr>
            <w:tcW w:type="dxa" w:w="4320"/>
          </w:tcPr>
          <w:p>
            <w:r>
              <w:t>floor</w:t>
            </w:r>
          </w:p>
        </w:tc>
        <w:tc>
          <w:tcPr>
            <w:tcW w:type="dxa" w:w="4320"/>
          </w:tcPr>
          <w:p>
            <w:r>
              <w:t>floor</w:t>
            </w:r>
          </w:p>
        </w:tc>
      </w:tr>
      <w:tr>
        <w:tc>
          <w:tcPr>
            <w:tcW w:type="dxa" w:w="4320"/>
          </w:tcPr>
          <w:p>
            <w:r>
              <w:t>spreadRate</w:t>
            </w:r>
          </w:p>
        </w:tc>
        <w:tc>
          <w:tcPr>
            <w:tcW w:type="dxa" w:w="4320"/>
          </w:tcPr>
          <w:p>
            <w:r>
              <w:t>spread.value</w:t>
            </w:r>
          </w:p>
        </w:tc>
      </w:tr>
      <w:tr>
        <w:tc>
          <w:tcPr>
            <w:tcW w:type="dxa" w:w="4320"/>
          </w:tcPr>
          <w:p>
            <w:r>
              <w:t>spreadMaximum</w:t>
            </w:r>
          </w:p>
        </w:tc>
        <w:tc>
          <w:tcPr>
            <w:tcW w:type="dxa" w:w="4320"/>
          </w:tcPr>
          <w:p>
            <w:r>
              <w:t>spread.maximum</w:t>
            </w:r>
          </w:p>
        </w:tc>
      </w:tr>
      <w:tr>
        <w:tc>
          <w:tcPr>
            <w:tcW w:type="dxa" w:w="4320"/>
          </w:tcPr>
          <w:p>
            <w:r>
              <w:t>participationRate</w:t>
            </w:r>
          </w:p>
        </w:tc>
        <w:tc>
          <w:tcPr>
            <w:tcW w:type="dxa" w:w="4320"/>
          </w:tcPr>
          <w:p>
            <w:r>
              <w:t>participation.value</w:t>
            </w:r>
          </w:p>
        </w:tc>
      </w:tr>
      <w:tr>
        <w:tc>
          <w:tcPr>
            <w:tcW w:type="dxa" w:w="4320"/>
          </w:tcPr>
          <w:p>
            <w:r>
              <w:t>participationRateMinimum</w:t>
            </w:r>
          </w:p>
        </w:tc>
        <w:tc>
          <w:tcPr>
            <w:tcW w:type="dxa" w:w="4320"/>
          </w:tcPr>
          <w:p>
            <w:r>
              <w:t>participation.minimum</w:t>
            </w:r>
          </w:p>
        </w:tc>
      </w:tr>
      <w:tr>
        <w:tc>
          <w:tcPr>
            <w:tcW w:type="dxa" w:w="4320"/>
          </w:tcPr>
          <w:p>
            <w:r>
              <w:t>participationRateBailout</w:t>
            </w:r>
          </w:p>
        </w:tc>
        <w:tc>
          <w:tcPr>
            <w:tcW w:type="dxa" w:w="4320"/>
          </w:tcPr>
          <w:p>
            <w:r>
              <w:t>participation.bailout</w:t>
            </w:r>
          </w:p>
        </w:tc>
      </w:tr>
      <w:tr>
        <w:tc>
          <w:tcPr>
            <w:tcW w:type="dxa" w:w="4320"/>
          </w:tcPr>
          <w:p>
            <w:r>
              <w:t>performanceTrigger</w:t>
            </w:r>
          </w:p>
        </w:tc>
        <w:tc>
          <w:tcPr>
            <w:tcW w:type="dxa" w:w="4320"/>
          </w:tcPr>
          <w:p>
            <w:r>
              <w:t>trigger.value</w:t>
            </w:r>
          </w:p>
        </w:tc>
      </w:tr>
      <w:tr>
        <w:tc>
          <w:tcPr>
            <w:tcW w:type="dxa" w:w="4320"/>
          </w:tcPr>
          <w:p>
            <w:r>
              <w:t>performanceTriggerRate</w:t>
            </w:r>
          </w:p>
        </w:tc>
        <w:tc>
          <w:tcPr>
            <w:tcW w:type="dxa" w:w="4320"/>
          </w:tcPr>
          <w:p>
            <w:r>
              <w:t>trigger.rate</w:t>
            </w:r>
          </w:p>
        </w:tc>
      </w:tr>
      <w:tr>
        <w:tc>
          <w:tcPr>
            <w:tcW w:type="dxa" w:w="4320"/>
          </w:tcPr>
          <w:p>
            <w:r>
              <w:t>performanceTriggerMinimumCredit</w:t>
            </w:r>
          </w:p>
        </w:tc>
        <w:tc>
          <w:tcPr>
            <w:tcW w:type="dxa" w:w="4320"/>
          </w:tcPr>
          <w:p>
            <w:r>
              <w:t>minimumCredit</w:t>
            </w:r>
          </w:p>
        </w:tc>
      </w:tr>
      <w:tr>
        <w:tc>
          <w:tcPr>
            <w:tcW w:type="dxa" w:w="4320"/>
          </w:tcPr>
          <w:p>
            <w:r>
              <w:t>tickerSymbol</w:t>
            </w:r>
          </w:p>
        </w:tc>
        <w:tc>
          <w:tcPr>
            <w:tcW w:type="dxa" w:w="4320"/>
          </w:tcPr>
          <w:p>
            <w:r>
              <w:t>terms.tickerSymbol</w:t>
            </w:r>
          </w:p>
        </w:tc>
      </w:tr>
      <w:tr>
        <w:tc>
          <w:tcPr>
            <w:tcW w:type="dxa" w:w="4320"/>
          </w:tcPr>
          <w:p>
            <w:r>
              <w:t>rop</w:t>
            </w:r>
          </w:p>
        </w:tc>
        <w:tc>
          <w:tcPr>
            <w:tcW w:type="dxa" w:w="4320"/>
          </w:tcPr>
          <w:p>
            <w:r>
              <w:t>terms.rop</w:t>
            </w:r>
          </w:p>
        </w:tc>
      </w:tr>
    </w:tbl>
    <w:p>
      <w:pPr>
        <w:pStyle w:val="Heading1"/>
      </w:pPr>
      <w:r>
        <w:t>6. State Availability — Important Exception</w:t>
      </w:r>
    </w:p>
    <w:p>
      <w:r>
        <w:t>The source data can contain more than one state-availability concept. In particular, the Indexed data has the overall state availability plus GMIR-specific state availability fields (gmirStateAvailability1 and gmirStateAvailability2). These should NOT be collapsed into one states[] array if they represent different eligibility rules.</w:t>
      </w:r>
    </w:p>
    <w:p>
      <w:r>
        <w:t>Recommended approach: keep states[] for overall rate availability, and preserve GMIR-specific state arrays under terms until the business meaning is confirmed.</w:t>
      </w:r>
    </w:p>
    <w:p>
      <w:r>
        <w:t>Example:</w:t>
        <w:br/>
        <w:t>states: ["IA", "IL", "TX"]</w:t>
        <w:br/>
        <w:br/>
        <w:t>terms: {</w:t>
        <w:br/>
        <w:t xml:space="preserve">  gmirStateAvailability1: ["IA", "TX"],</w:t>
        <w:br/>
        <w:t xml:space="preserve">  gmirStateAvailability2: ["IL"]</w:t>
        <w:br/>
        <w:t>}</w:t>
      </w:r>
    </w:p>
    <w:p>
      <w:pPr>
        <w:pStyle w:val="Heading1"/>
      </w:pPr>
      <w:r>
        <w:t>7. Category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Attribute</w:t>
            </w:r>
          </w:p>
        </w:tc>
        <w:tc>
          <w:tcPr>
            <w:tcW w:type="dxa" w:w="2160"/>
          </w:tcPr>
          <w:p>
            <w:r>
              <w:t>Fixed</w:t>
            </w:r>
          </w:p>
        </w:tc>
        <w:tc>
          <w:tcPr>
            <w:tcW w:type="dxa" w:w="2160"/>
          </w:tcPr>
          <w:p>
            <w:r>
              <w:t>Indexed</w:t>
            </w:r>
          </w:p>
        </w:tc>
        <w:tc>
          <w:tcPr>
            <w:tcW w:type="dxa" w:w="2160"/>
          </w:tcPr>
          <w:p>
            <w:r>
              <w:t>RILA</w:t>
            </w:r>
          </w:p>
        </w:tc>
      </w:tr>
      <w:tr>
        <w:tc>
          <w:tcPr>
            <w:tcW w:type="dxa" w:w="2160"/>
          </w:tcPr>
          <w:p>
            <w:r>
              <w:t>premium</w:t>
            </w:r>
          </w:p>
        </w:tc>
        <w:tc>
          <w:tcPr>
            <w:tcW w:type="dxa" w:w="2160"/>
          </w:tcPr>
          <w:p>
            <w:r>
              <w:t>✓</w:t>
            </w:r>
          </w:p>
        </w:tc>
        <w:tc>
          <w:tcPr>
            <w:tcW w:type="dxa" w:w="2160"/>
          </w:tcPr>
          <w:p>
            <w:r>
              <w:t>✓</w:t>
            </w:r>
          </w:p>
        </w:tc>
        <w:tc>
          <w:tcPr>
            <w:tcW w:type="dxa" w:w="2160"/>
          </w:tcPr>
          <w:p>
            <w:r>
              <w:t>✓</w:t>
            </w:r>
          </w:p>
        </w:tc>
      </w:tr>
      <w:tr>
        <w:tc>
          <w:tcPr>
            <w:tcW w:type="dxa" w:w="2160"/>
          </w:tcPr>
          <w:p>
            <w:r>
              <w:t>term</w:t>
            </w:r>
          </w:p>
        </w:tc>
        <w:tc>
          <w:tcPr>
            <w:tcW w:type="dxa" w:w="2160"/>
          </w:tcPr>
          <w:p>
            <w:r>
              <w:t>✓</w:t>
            </w:r>
          </w:p>
        </w:tc>
        <w:tc>
          <w:tcPr>
            <w:tcW w:type="dxa" w:w="2160"/>
          </w:tcPr>
          <w:p>
            <w:r>
              <w:t>needs validation</w:t>
            </w:r>
          </w:p>
        </w:tc>
        <w:tc>
          <w:tcPr>
            <w:tcW w:type="dxa" w:w="2160"/>
          </w:tcPr>
          <w:p>
            <w:r>
              <w:t>needs validation</w:t>
            </w:r>
          </w:p>
        </w:tc>
      </w:tr>
      <w:tr>
        <w:tc>
          <w:tcPr>
            <w:tcW w:type="dxa" w:w="2160"/>
          </w:tcPr>
          <w:p>
            <w:r>
              <w:t>rate</w:t>
            </w:r>
          </w:p>
        </w:tc>
        <w:tc>
          <w:tcPr>
            <w:tcW w:type="dxa" w:w="2160"/>
          </w:tcPr>
          <w:p>
            <w:r>
              <w:t>✓</w:t>
            </w:r>
          </w:p>
        </w:tc>
        <w:tc>
          <w:tcPr>
            <w:tcW w:type="dxa" w:w="2160"/>
          </w:tcPr>
          <w:p>
            <w:r>
              <w:t>✓</w:t>
            </w:r>
          </w:p>
        </w:tc>
        <w:tc>
          <w:tcPr>
            <w:tcW w:type="dxa" w:w="2160"/>
          </w:tcPr>
          <w:p>
            <w:r>
              <w:t>✓</w:t>
            </w:r>
          </w:p>
        </w:tc>
      </w:tr>
      <w:tr>
        <w:tc>
          <w:tcPr>
            <w:tcW w:type="dxa" w:w="2160"/>
          </w:tcPr>
          <w:p>
            <w:r>
              <w:t>rate.minimum</w:t>
            </w:r>
          </w:p>
        </w:tc>
        <w:tc>
          <w:tcPr>
            <w:tcW w:type="dxa" w:w="2160"/>
          </w:tcPr>
          <w:p>
            <w:r>
              <w:t>✓</w:t>
            </w:r>
          </w:p>
        </w:tc>
        <w:tc>
          <w:tcPr>
            <w:tcW w:type="dxa" w:w="2160"/>
          </w:tcPr>
          <w:p>
            <w:r>
              <w:t>✓</w:t>
            </w:r>
          </w:p>
        </w:tc>
        <w:tc>
          <w:tcPr>
            <w:tcW w:type="dxa" w:w="2160"/>
          </w:tcPr>
          <w:p>
            <w:r>
              <w:t>✓</w:t>
            </w:r>
          </w:p>
        </w:tc>
      </w:tr>
      <w:tr>
        <w:tc>
          <w:tcPr>
            <w:tcW w:type="dxa" w:w="2160"/>
          </w:tcPr>
          <w:p>
            <w:r>
              <w:t>rate.guaranteed</w:t>
            </w:r>
          </w:p>
        </w:tc>
        <w:tc>
          <w:tcPr>
            <w:tcW w:type="dxa" w:w="2160"/>
          </w:tcPr>
          <w:p>
            <w:r>
              <w:t>✓</w:t>
            </w:r>
          </w:p>
        </w:tc>
        <w:tc>
          <w:tcPr>
            <w:tcW w:type="dxa" w:w="2160"/>
          </w:tcPr>
          <w:p>
            <w:r>
              <w:t>conditional</w:t>
            </w:r>
          </w:p>
        </w:tc>
        <w:tc>
          <w:tcPr>
            <w:tcW w:type="dxa" w:w="2160"/>
          </w:tcPr>
          <w:p>
            <w:r>
              <w:t>—</w:t>
            </w:r>
          </w:p>
        </w:tc>
      </w:tr>
      <w:tr>
        <w:tc>
          <w:tcPr>
            <w:tcW w:type="dxa" w:w="2160"/>
          </w:tcPr>
          <w:p>
            <w:r>
              <w:t>cap</w:t>
            </w:r>
          </w:p>
        </w:tc>
        <w:tc>
          <w:tcPr>
            <w:tcW w:type="dxa" w:w="2160"/>
          </w:tcPr>
          <w:p>
            <w:r>
              <w:t>—</w:t>
            </w:r>
          </w:p>
        </w:tc>
        <w:tc>
          <w:tcPr>
            <w:tcW w:type="dxa" w:w="2160"/>
          </w:tcPr>
          <w:p>
            <w:r>
              <w:t>✓</w:t>
            </w:r>
          </w:p>
        </w:tc>
        <w:tc>
          <w:tcPr>
            <w:tcW w:type="dxa" w:w="2160"/>
          </w:tcPr>
          <w:p>
            <w:r>
              <w:t>✓</w:t>
            </w:r>
          </w:p>
        </w:tc>
      </w:tr>
      <w:tr>
        <w:tc>
          <w:tcPr>
            <w:tcW w:type="dxa" w:w="2160"/>
          </w:tcPr>
          <w:p>
            <w:r>
              <w:t>floor</w:t>
            </w:r>
          </w:p>
        </w:tc>
        <w:tc>
          <w:tcPr>
            <w:tcW w:type="dxa" w:w="2160"/>
          </w:tcPr>
          <w:p>
            <w:r>
              <w:t>—</w:t>
            </w:r>
          </w:p>
        </w:tc>
        <w:tc>
          <w:tcPr>
            <w:tcW w:type="dxa" w:w="2160"/>
          </w:tcPr>
          <w:p>
            <w:r>
              <w:t>✓</w:t>
            </w:r>
          </w:p>
        </w:tc>
        <w:tc>
          <w:tcPr>
            <w:tcW w:type="dxa" w:w="2160"/>
          </w:tcPr>
          <w:p>
            <w:r>
              <w:t>✓</w:t>
            </w:r>
          </w:p>
        </w:tc>
      </w:tr>
      <w:tr>
        <w:tc>
          <w:tcPr>
            <w:tcW w:type="dxa" w:w="2160"/>
          </w:tcPr>
          <w:p>
            <w:r>
              <w:t>buffer</w:t>
            </w:r>
          </w:p>
        </w:tc>
        <w:tc>
          <w:tcPr>
            <w:tcW w:type="dxa" w:w="2160"/>
          </w:tcPr>
          <w:p>
            <w:r>
              <w:t>—</w:t>
            </w:r>
          </w:p>
        </w:tc>
        <w:tc>
          <w:tcPr>
            <w:tcW w:type="dxa" w:w="2160"/>
          </w:tcPr>
          <w:p>
            <w:r>
              <w:t>conditional</w:t>
            </w:r>
          </w:p>
        </w:tc>
        <w:tc>
          <w:tcPr>
            <w:tcW w:type="dxa" w:w="2160"/>
          </w:tcPr>
          <w:p>
            <w:r>
              <w:t>✓</w:t>
            </w:r>
          </w:p>
        </w:tc>
      </w:tr>
      <w:tr>
        <w:tc>
          <w:tcPr>
            <w:tcW w:type="dxa" w:w="2160"/>
          </w:tcPr>
          <w:p>
            <w:r>
              <w:t>spread</w:t>
            </w:r>
          </w:p>
        </w:tc>
        <w:tc>
          <w:tcPr>
            <w:tcW w:type="dxa" w:w="2160"/>
          </w:tcPr>
          <w:p>
            <w:r>
              <w:t>—</w:t>
            </w:r>
          </w:p>
        </w:tc>
        <w:tc>
          <w:tcPr>
            <w:tcW w:type="dxa" w:w="2160"/>
          </w:tcPr>
          <w:p>
            <w:r>
              <w:t>✓</w:t>
            </w:r>
          </w:p>
        </w:tc>
        <w:tc>
          <w:tcPr>
            <w:tcW w:type="dxa" w:w="2160"/>
          </w:tcPr>
          <w:p>
            <w:r>
              <w:t>✓</w:t>
            </w:r>
          </w:p>
        </w:tc>
      </w:tr>
      <w:tr>
        <w:tc>
          <w:tcPr>
            <w:tcW w:type="dxa" w:w="2160"/>
          </w:tcPr>
          <w:p>
            <w:r>
              <w:t>participation</w:t>
            </w:r>
          </w:p>
        </w:tc>
        <w:tc>
          <w:tcPr>
            <w:tcW w:type="dxa" w:w="2160"/>
          </w:tcPr>
          <w:p>
            <w:r>
              <w:t>—</w:t>
            </w:r>
          </w:p>
        </w:tc>
        <w:tc>
          <w:tcPr>
            <w:tcW w:type="dxa" w:w="2160"/>
          </w:tcPr>
          <w:p>
            <w:r>
              <w:t>✓</w:t>
            </w:r>
          </w:p>
        </w:tc>
        <w:tc>
          <w:tcPr>
            <w:tcW w:type="dxa" w:w="2160"/>
          </w:tcPr>
          <w:p>
            <w:r>
              <w:t>✓</w:t>
            </w:r>
          </w:p>
        </w:tc>
      </w:tr>
      <w:tr>
        <w:tc>
          <w:tcPr>
            <w:tcW w:type="dxa" w:w="2160"/>
          </w:tcPr>
          <w:p>
            <w:r>
              <w:t>trigger</w:t>
            </w:r>
          </w:p>
        </w:tc>
        <w:tc>
          <w:tcPr>
            <w:tcW w:type="dxa" w:w="2160"/>
          </w:tcPr>
          <w:p>
            <w:r>
              <w:t>—</w:t>
            </w:r>
          </w:p>
        </w:tc>
        <w:tc>
          <w:tcPr>
            <w:tcW w:type="dxa" w:w="2160"/>
          </w:tcPr>
          <w:p>
            <w:r>
              <w:t>✓</w:t>
            </w:r>
          </w:p>
        </w:tc>
        <w:tc>
          <w:tcPr>
            <w:tcW w:type="dxa" w:w="2160"/>
          </w:tcPr>
          <w:p>
            <w:r>
              <w:t>✓</w:t>
            </w:r>
          </w:p>
        </w:tc>
      </w:tr>
      <w:tr>
        <w:tc>
          <w:tcPr>
            <w:tcW w:type="dxa" w:w="2160"/>
          </w:tcPr>
          <w:p>
            <w:r>
              <w:t>minimumCredit</w:t>
            </w:r>
          </w:p>
        </w:tc>
        <w:tc>
          <w:tcPr>
            <w:tcW w:type="dxa" w:w="2160"/>
          </w:tcPr>
          <w:p>
            <w:r>
              <w:t>—</w:t>
            </w:r>
          </w:p>
        </w:tc>
        <w:tc>
          <w:tcPr>
            <w:tcW w:type="dxa" w:w="2160"/>
          </w:tcPr>
          <w:p>
            <w:r>
              <w:t>✓</w:t>
            </w:r>
          </w:p>
        </w:tc>
        <w:tc>
          <w:tcPr>
            <w:tcW w:type="dxa" w:w="2160"/>
          </w:tcPr>
          <w:p>
            <w:r>
              <w:t>✓</w:t>
            </w:r>
          </w:p>
        </w:tc>
      </w:tr>
      <w:tr>
        <w:tc>
          <w:tcPr>
            <w:tcW w:type="dxa" w:w="2160"/>
          </w:tcPr>
          <w:p>
            <w:r>
              <w:t>bonus</w:t>
            </w:r>
          </w:p>
        </w:tc>
        <w:tc>
          <w:tcPr>
            <w:tcW w:type="dxa" w:w="2160"/>
          </w:tcPr>
          <w:p>
            <w:r>
              <w:t>✓</w:t>
            </w:r>
          </w:p>
        </w:tc>
        <w:tc>
          <w:tcPr>
            <w:tcW w:type="dxa" w:w="2160"/>
          </w:tcPr>
          <w:p>
            <w:r>
              <w:t>—</w:t>
            </w:r>
          </w:p>
        </w:tc>
        <w:tc>
          <w:tcPr>
            <w:tcW w:type="dxa" w:w="2160"/>
          </w:tcPr>
          <w:p>
            <w:r>
              <w:t>—</w:t>
            </w:r>
          </w:p>
        </w:tc>
      </w:tr>
      <w:tr>
        <w:tc>
          <w:tcPr>
            <w:tcW w:type="dxa" w:w="2160"/>
          </w:tcPr>
          <w:p>
            <w:r>
              <w:t>marketIndexId</w:t>
            </w:r>
          </w:p>
        </w:tc>
        <w:tc>
          <w:tcPr>
            <w:tcW w:type="dxa" w:w="2160"/>
          </w:tcPr>
          <w:p>
            <w:r>
              <w:t>—</w:t>
            </w:r>
          </w:p>
        </w:tc>
        <w:tc>
          <w:tcPr>
            <w:tcW w:type="dxa" w:w="2160"/>
          </w:tcPr>
          <w:p>
            <w:r>
              <w:t>✓</w:t>
            </w:r>
          </w:p>
        </w:tc>
        <w:tc>
          <w:tcPr>
            <w:tcW w:type="dxa" w:w="2160"/>
          </w:tcPr>
          <w:p>
            <w:r>
              <w:t>✓</w:t>
            </w:r>
          </w:p>
        </w:tc>
      </w:tr>
      <w:tr>
        <w:tc>
          <w:tcPr>
            <w:tcW w:type="dxa" w:w="2160"/>
          </w:tcPr>
          <w:p>
            <w:r>
              <w:t>strategyId</w:t>
            </w:r>
          </w:p>
        </w:tc>
        <w:tc>
          <w:tcPr>
            <w:tcW w:type="dxa" w:w="2160"/>
          </w:tcPr>
          <w:p>
            <w:r>
              <w:t>conditional</w:t>
            </w:r>
          </w:p>
        </w:tc>
        <w:tc>
          <w:tcPr>
            <w:tcW w:type="dxa" w:w="2160"/>
          </w:tcPr>
          <w:p>
            <w:r>
              <w:t>✓</w:t>
            </w:r>
          </w:p>
        </w:tc>
        <w:tc>
          <w:tcPr>
            <w:tcW w:type="dxa" w:w="2160"/>
          </w:tcPr>
          <w:p>
            <w:r>
              <w:t>✓</w:t>
            </w:r>
          </w:p>
        </w:tc>
      </w:tr>
      <w:tr>
        <w:tc>
          <w:tcPr>
            <w:tcW w:type="dxa" w:w="2160"/>
          </w:tcPr>
          <w:p>
            <w:r>
              <w:t>creditingMethodId</w:t>
            </w:r>
          </w:p>
        </w:tc>
        <w:tc>
          <w:tcPr>
            <w:tcW w:type="dxa" w:w="2160"/>
          </w:tcPr>
          <w:p>
            <w:r>
              <w:t>conditional</w:t>
            </w:r>
          </w:p>
        </w:tc>
        <w:tc>
          <w:tcPr>
            <w:tcW w:type="dxa" w:w="2160"/>
          </w:tcPr>
          <w:p>
            <w:r>
              <w:t>✓</w:t>
            </w:r>
          </w:p>
        </w:tc>
        <w:tc>
          <w:tcPr>
            <w:tcW w:type="dxa" w:w="2160"/>
          </w:tcPr>
          <w:p>
            <w:r>
              <w:t>✓</w:t>
            </w:r>
          </w:p>
        </w:tc>
      </w:tr>
    </w:tbl>
    <w:p>
      <w:pPr>
        <w:pStyle w:val="Heading1"/>
      </w:pPr>
      <w:r>
        <w:t>8. Open Decisions Before Implementation</w:t>
      </w:r>
    </w:p>
    <w:p>
      <w:pPr>
        <w:pStyle w:val="ListBullet"/>
      </w:pPr>
      <w:r>
        <w:t>Define exactly what term.value means across Fixed, Indexed, and RILA. Do not map perChangeTerm blindly.</w:t>
      </w:r>
    </w:p>
    <w:p>
      <w:pPr>
        <w:pStyle w:val="ListBullet"/>
      </w:pPr>
      <w:r>
        <w:t>Confirm whether Fixed products receive strategyId and creditingMethodId.</w:t>
      </w:r>
    </w:p>
    <w:p>
      <w:pPr>
        <w:pStyle w:val="ListBullet"/>
      </w:pPr>
      <w:r>
        <w:t>Confirm whether GMIR-specific state arrays are business-relevant enough to promote beyond terms.</w:t>
      </w:r>
    </w:p>
    <w:p>
      <w:pPr>
        <w:pStyle w:val="ListBullet"/>
      </w:pPr>
      <w:r>
        <w:t>Confirm whether bonus start/end dates need first-class fields or can remain in terms.</w:t>
      </w:r>
    </w:p>
    <w:p>
      <w:pPr>
        <w:pStyle w:val="ListBullet"/>
      </w:pPr>
      <w:r>
        <w:t>Resolve whether any source field represents a distinct canonical concept currently hidden in terms.</w:t>
      </w:r>
    </w:p>
    <w:p>
      <w:pPr>
        <w:pStyle w:val="Heading1"/>
      </w:pPr>
      <w:r>
        <w:t>9. Reference Names, Symbol, and State Availability</w:t>
      </w:r>
    </w:p>
    <w:p>
      <w:r>
        <w:rPr>
          <w:b/>
        </w:rPr>
        <w:t xml:space="preserve">Reference names: </w:t>
      </w:r>
      <w:r>
        <w:t>Lookup IDs should be accompanied by their resolved names in the indexed rate record when the name is needed for search, display, or filtering. This applies to category, crediting method, market index, and strategy. The IDs remain the canonical references; the names are denormalized lookup values populated during ingestion.</w:t>
      </w:r>
    </w:p>
    <w:p>
      <w:r>
        <w:rPr>
          <w:b/>
        </w:rPr>
        <w:t xml:space="preserve">Symbol: </w:t>
      </w:r>
      <w:r>
        <w:t>Rename the source tickerSymbol field to symbol. Store it as terms.symbol only if it is not needed as a first-class indexed/searchable attribute; otherwise promote it to symbol.</w:t>
      </w:r>
    </w:p>
    <w:p>
      <w:r>
        <w:rPr>
          <w:b/>
        </w:rPr>
        <w:t xml:space="preserve">State availability: </w:t>
      </w:r>
      <w:r>
        <w:t>Use availability[] for overall rate availability. Do not collapse category-specific state arrays into it. For Indexed rates, GMIR-specific state availability should remain separately represented, e.g. terms.gmirAvailability1 and terms.gmirAvailability2, until their exact business semantics are confirmed.</w:t>
      </w:r>
    </w:p>
    <w:p>
      <w:r>
        <w:t>Recommended reference fields:</w:t>
      </w:r>
    </w:p>
    <w:p>
      <w:pPr>
        <w:pStyle w:val="NoSpacing"/>
      </w:pPr>
      <w:r>
        <w:t>typeId: string</w:t>
        <w:br/>
        <w:t>typeName?: string</w:t>
        <w:br/>
        <w:br/>
        <w:t>categoryId: string</w:t>
        <w:br/>
        <w:t>categoryName?: string</w:t>
        <w:br/>
        <w:br/>
        <w:t>strategyId?: string</w:t>
        <w:br/>
        <w:t>strategyName?: string</w:t>
        <w:br/>
        <w:br/>
        <w:t>creditingMethodId?: string</w:t>
        <w:br/>
        <w:t>creditingMethodName?: string</w:t>
        <w:br/>
        <w:br/>
        <w:t>marketIndexId?: string</w:t>
        <w:br/>
        <w:t>marketIndexName?: string</w:t>
      </w:r>
    </w:p>
    <w:p>
      <w:r>
        <w:t>These names are intentionally denormalized. The ID is the stable reference; the name makes the Algolia record self-contained and avoids requiring a second lookup just to render or search the rate.</w:t>
      </w:r>
    </w:p>
    <w:p>
      <w:pPr>
        <w:pStyle w:val="Heading1"/>
      </w:pPr>
      <w:r>
        <w:t>10. Updated Canonical Interface</w:t>
      </w:r>
    </w:p>
    <w:p>
      <w:pPr>
        <w:pStyle w:val="NoSpacing"/>
      </w:pPr>
      <w:r>
        <w:t>interface ProductRate {</w:t>
        <w:br/>
        <w:t xml:space="preserve">  _organizationIds: string[] // Inherit from product</w:t>
        <w:br/>
        <w:t xml:space="preserve">  id: string</w:t>
        <w:br/>
        <w:br/>
        <w:t xml:space="preserve">  // References</w:t>
        <w:br/>
        <w:t xml:space="preserve">  typeId: string // annuity</w:t>
        <w:br/>
        <w:t xml:space="preserve">  typeName?: string</w:t>
        <w:br/>
        <w:br/>
        <w:t xml:space="preserve">  productId: string</w:t>
        <w:br/>
        <w:br/>
        <w:t xml:space="preserve">  categoryId: string</w:t>
        <w:br/>
        <w:t xml:space="preserve">  categoryName?: string</w:t>
        <w:br/>
        <w:br/>
        <w:t xml:space="preserve">  creditingMethodId?: string // lookup/create on ingestion</w:t>
        <w:br/>
        <w:t xml:space="preserve">  creditingMethodName?: string</w:t>
        <w:br/>
        <w:br/>
        <w:t xml:space="preserve">  marketIndexId?: string // lookup/create on ingestion</w:t>
        <w:br/>
        <w:t xml:space="preserve">  marketIndexName?: string</w:t>
        <w:br/>
        <w:br/>
        <w:t xml:space="preserve">  strategyId?: string // lookup/create on ingestion</w:t>
        <w:br/>
        <w:t xml:space="preserve">  strategyName?: string</w:t>
        <w:br/>
        <w:br/>
        <w:t xml:space="preserve">  // Lifecycle</w:t>
        <w:br/>
        <w:t xml:space="preserve">  startDate: Date</w:t>
        <w:br/>
        <w:t xml:space="preserve">  endDate?: Date</w:t>
        <w:br/>
        <w:br/>
        <w:t xml:space="preserve">  // Identification</w:t>
        <w:br/>
        <w:t xml:space="preserve">  name?: string</w:t>
        <w:br/>
        <w:t xml:space="preserve">  description?: string</w:t>
        <w:br/>
        <w:br/>
        <w:t xml:space="preserve">  // Classification</w:t>
        <w:br/>
        <w:t xml:space="preserve">  isActive: boolean // If passed ingestion rules, inherit from product</w:t>
        <w:br/>
        <w:t xml:space="preserve">  isVisible: boolean // If passed ingestion rules, inherit from product</w:t>
        <w:br/>
        <w:t xml:space="preserve">  isProprietary: boolean // Inherit from product</w:t>
        <w:br/>
        <w:t xml:space="preserve">  isClosed: boolean // Inherit from product</w:t>
        <w:br/>
        <w:t xml:space="preserve">  isScorecardEligible: boolean // Inherit from product</w:t>
        <w:br/>
        <w:t xml:space="preserve">  isRop: boolean</w:t>
        <w:br/>
        <w:br/>
        <w:t xml:space="preserve">  // Premium</w:t>
        <w:br/>
        <w:t xml:space="preserve">  premium?: PremiumRange</w:t>
        <w:br/>
        <w:br/>
        <w:t xml:space="preserve">  // State Availability</w:t>
        <w:br/>
        <w:t xml:space="preserve">  availability?: string[]</w:t>
        <w:br/>
        <w:br/>
        <w:t xml:space="preserve">  // Term</w:t>
        <w:br/>
        <w:t xml:space="preserve">  term?: RateTerm</w:t>
        <w:br/>
        <w:br/>
        <w:t xml:space="preserve">  // Crediting</w:t>
        <w:br/>
        <w:t xml:space="preserve">  creditingFrequency?: string</w:t>
        <w:br/>
        <w:br/>
        <w:t xml:space="preserve">  // Rate</w:t>
        <w:br/>
        <w:t xml:space="preserve">  rate?: Rate</w:t>
        <w:br/>
        <w:br/>
        <w:t xml:space="preserve">  // Rate mechanics</w:t>
        <w:br/>
        <w:t xml:space="preserve">  cap?: RateRange</w:t>
        <w:br/>
        <w:t xml:space="preserve">  floor?: number</w:t>
        <w:br/>
        <w:t xml:space="preserve">  buffer?: number</w:t>
        <w:br/>
        <w:t xml:space="preserve">  spread?: RateRange</w:t>
        <w:br/>
        <w:t xml:space="preserve">  participation?: RateRange</w:t>
        <w:br/>
        <w:t xml:space="preserve">  trigger?: TriggerRate</w:t>
        <w:br/>
        <w:t xml:space="preserve">  minimumCredit?: number</w:t>
        <w:br/>
        <w:t xml:space="preserve">  bonus?: BonusRate</w:t>
        <w:br/>
        <w:br/>
        <w:t xml:space="preserve">  // Other</w:t>
        <w:br/>
        <w:t xml:space="preserve">  symbol?: string</w:t>
        <w:br/>
        <w:t xml:space="preserve">  terms?: Record&lt;string, unknown&gt;</w:t>
        <w:br/>
        <w:br/>
        <w:t xml:space="preserve">  // Source</w:t>
        <w:br/>
        <w:t xml:space="preserve">  source?: string</w:t>
        <w:br/>
        <w:t xml:space="preserve">  sourceId?: string</w:t>
        <w:br/>
        <w:t>}</w:t>
        <w:br/>
        <w:br/>
        <w:t>interface PremiumRange {</w:t>
        <w:br/>
        <w:t xml:space="preserve">  minimum?: number</w:t>
        <w:br/>
        <w:t xml:space="preserve">  maximum?: number</w:t>
        <w:br/>
        <w:t>}</w:t>
        <w:br/>
        <w:br/>
        <w:t>interface RateTerm {</w:t>
        <w:br/>
        <w:t xml:space="preserve">  value?: number</w:t>
        <w:br/>
        <w:t xml:space="preserve">  startDate?: Date</w:t>
        <w:br/>
        <w:t xml:space="preserve">  endDate?: Date</w:t>
        <w:br/>
        <w:t>}</w:t>
        <w:br/>
        <w:br/>
        <w:t>interface Rate {</w:t>
        <w:br/>
        <w:t xml:space="preserve">  value?: number</w:t>
        <w:br/>
        <w:t xml:space="preserve">  minimum?: number</w:t>
        <w:br/>
        <w:t xml:space="preserve">  guaranteed?: number</w:t>
        <w:br/>
        <w:t>}</w:t>
        <w:br/>
        <w:br/>
        <w:t>interface RateRange {</w:t>
        <w:br/>
        <w:t xml:space="preserve">  value: number</w:t>
        <w:br/>
        <w:t xml:space="preserve">  minimum?: number</w:t>
        <w:br/>
        <w:t xml:space="preserve">  maximum?: number</w:t>
        <w:br/>
        <w:t xml:space="preserve">  bailout?: number</w:t>
        <w:br/>
        <w:t>}</w:t>
        <w:br/>
        <w:br/>
        <w:t>interface TriggerRate {</w:t>
        <w:br/>
        <w:t xml:space="preserve">  value?: number</w:t>
        <w:br/>
        <w:t xml:space="preserve">  rate?: number</w:t>
        <w:br/>
        <w:t>}</w:t>
        <w:br/>
        <w:br/>
        <w:t>interface BonusRate {</w:t>
        <w:br/>
        <w:t xml:space="preserve">  value: number</w:t>
        <w:br/>
        <w:t xml:space="preserve">  term?: number</w:t>
        <w:br/>
        <w:t xml:space="preserve">  type?: string</w:t>
        <w:br/>
        <w:t>}</w:t>
      </w:r>
    </w:p>
    <w:p>
      <w:pPr>
        <w:pStyle w:val="Heading1"/>
      </w:pPr>
      <w:r>
        <w:t>11. Updated Source Mapping Notes</w:t>
      </w:r>
    </w:p>
    <w:p>
      <w:pPr>
        <w:pStyle w:val="ListBullet"/>
      </w:pPr>
      <w:r>
        <w:t>strategyName / creditStrategy → strategyId + strategyName. Ingestion resolves or creates the strategy lookup and stores both ID and resolved name.</w:t>
      </w:r>
    </w:p>
    <w:p>
      <w:pPr>
        <w:pStyle w:val="ListBullet"/>
      </w:pPr>
      <w:r>
        <w:t>index → marketIndexId + marketIndexName. Ingestion resolves or creates the market-index lookup and stores both ID and resolved name.</w:t>
      </w:r>
    </w:p>
    <w:p>
      <w:pPr>
        <w:pStyle w:val="ListBullet"/>
      </w:pPr>
      <w:r>
        <w:t>tickerSymbol → symbol.</w:t>
      </w:r>
    </w:p>
    <w:p>
      <w:pPr>
        <w:pStyle w:val="ListBullet"/>
      </w:pPr>
      <w:r>
        <w:t>categoryId → categoryId + categoryName after lookup resolution.</w:t>
      </w:r>
    </w:p>
    <w:p>
      <w:pPr>
        <w:pStyle w:val="ListBullet"/>
      </w:pPr>
      <w:r>
        <w:t>creditingMethodId → creditingMethodId + creditingMethodName after lookup resolution.</w:t>
      </w:r>
    </w:p>
    <w:p>
      <w:pPr>
        <w:pStyle w:val="ListBullet"/>
      </w:pPr>
      <w:r>
        <w:t>overallStateAvailability → availability[].</w:t>
      </w:r>
    </w:p>
    <w:p>
      <w:pPr>
        <w:pStyle w:val="ListBullet"/>
      </w:pPr>
      <w:r>
        <w:t>Indexed GMIR state arrays remain separate from availability[]. Preserve gmirStateAvailability1 and gmirStateAvailability2 separately (recommended names: terms.gmirAvailability1 / terms.gmirAvailability2) unless/until their semantics are standardized.</w:t>
      </w:r>
    </w:p>
    <w:p>
      <w:pPr>
        <w:pStyle w:val="ListBullet"/>
      </w:pPr>
      <w:r>
        <w:t>typeId identifies the product type. typeName can be denormalized for the same reason as other lookup names; for the current annuity use case it would resolve to something such as 'Annuity'.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