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9C63E" w14:textId="77777777" w:rsidR="003F05B8" w:rsidRPr="00E05732" w:rsidRDefault="003F05B8">
      <w:pPr>
        <w:rPr>
          <w:rFonts w:cs="Arial"/>
          <w:sz w:val="20"/>
          <w:szCs w:val="20"/>
        </w:rPr>
      </w:pPr>
      <w:r w:rsidRPr="00E05732">
        <w:rPr>
          <w:rFonts w:cs="Arial"/>
          <w:sz w:val="20"/>
          <w:szCs w:val="20"/>
        </w:rPr>
        <w:t>Team Name:</w:t>
      </w:r>
    </w:p>
    <w:p w14:paraId="45772A31" w14:textId="77777777" w:rsidR="003F05B8" w:rsidRPr="00E05732" w:rsidRDefault="003F05B8">
      <w:pPr>
        <w:rPr>
          <w:rFonts w:cs="Arial"/>
          <w:sz w:val="20"/>
          <w:szCs w:val="20"/>
        </w:rPr>
      </w:pPr>
    </w:p>
    <w:p w14:paraId="079A6256" w14:textId="77777777" w:rsidR="004731C0" w:rsidRPr="00E05732" w:rsidRDefault="004731C0">
      <w:pPr>
        <w:rPr>
          <w:rFonts w:cs="Arial"/>
          <w:sz w:val="20"/>
          <w:szCs w:val="20"/>
        </w:rPr>
      </w:pPr>
      <w:r w:rsidRPr="00E05732">
        <w:rPr>
          <w:rFonts w:cs="Arial"/>
          <w:sz w:val="20"/>
          <w:szCs w:val="20"/>
        </w:rPr>
        <w:t>We declare that this report and the entry that it describes complies with the rules of the 2012 UAV Challenge</w:t>
      </w:r>
      <w:r w:rsidR="00D56D79" w:rsidRPr="00E05732">
        <w:rPr>
          <w:rFonts w:cs="Arial"/>
          <w:sz w:val="20"/>
          <w:szCs w:val="20"/>
        </w:rPr>
        <w:t>, and that we enter with the intention of competing in the spirit of the challenge</w:t>
      </w:r>
      <w:r w:rsidR="0071188B" w:rsidRPr="00E05732">
        <w:rPr>
          <w:rFonts w:cs="Arial"/>
          <w:sz w:val="20"/>
          <w:szCs w:val="20"/>
        </w:rPr>
        <w:t>.  Specifically we declare that our entry is compliant with the</w:t>
      </w:r>
      <w:r w:rsidRPr="00E05732">
        <w:rPr>
          <w:rFonts w:cs="Arial"/>
          <w:sz w:val="20"/>
          <w:szCs w:val="20"/>
        </w:rPr>
        <w:t xml:space="preserve"> following</w:t>
      </w:r>
      <w:r w:rsidR="0071188B" w:rsidRPr="00E05732">
        <w:rPr>
          <w:rFonts w:cs="Arial"/>
          <w:sz w:val="20"/>
          <w:szCs w:val="20"/>
        </w:rPr>
        <w:t xml:space="preserve"> topics and provide reference to within our Deliverable 2 document were our method of compliance is described</w:t>
      </w:r>
      <w:r w:rsidRPr="00E05732">
        <w:rPr>
          <w:rFonts w:cs="Arial"/>
          <w:sz w:val="20"/>
          <w:szCs w:val="20"/>
        </w:rPr>
        <w:t>:</w:t>
      </w:r>
    </w:p>
    <w:p w14:paraId="48BB2A20" w14:textId="77777777" w:rsidR="004731C0" w:rsidRPr="006838A3" w:rsidRDefault="004731C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2268"/>
        <w:gridCol w:w="2188"/>
      </w:tblGrid>
      <w:tr w:rsidR="004731C0" w:rsidRPr="006838A3" w14:paraId="1C582F96" w14:textId="77777777" w:rsidTr="00245D15">
        <w:trPr>
          <w:cantSplit/>
          <w:tblHeader/>
        </w:trPr>
        <w:tc>
          <w:tcPr>
            <w:tcW w:w="1384" w:type="dxa"/>
            <w:tcBorders>
              <w:bottom w:val="single" w:sz="4" w:space="0" w:color="auto"/>
            </w:tcBorders>
          </w:tcPr>
          <w:p w14:paraId="4F4BDFE5" w14:textId="77777777" w:rsidR="004731C0" w:rsidRPr="00E05732" w:rsidRDefault="004731C0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05732">
              <w:rPr>
                <w:rFonts w:ascii="Calibri" w:hAnsi="Calibri" w:cs="Arial"/>
                <w:b/>
                <w:sz w:val="20"/>
                <w:szCs w:val="20"/>
              </w:rPr>
              <w:t>Rules Reference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CD93EF7" w14:textId="77777777" w:rsidR="004731C0" w:rsidRPr="00E05732" w:rsidRDefault="004731C0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05732">
              <w:rPr>
                <w:rFonts w:ascii="Calibri" w:hAnsi="Calibri" w:cs="Arial"/>
                <w:b/>
                <w:sz w:val="20"/>
                <w:szCs w:val="20"/>
              </w:rPr>
              <w:t>Topic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5515D5A" w14:textId="77777777" w:rsidR="004731C0" w:rsidRPr="00E05732" w:rsidRDefault="004731C0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05732">
              <w:rPr>
                <w:rFonts w:ascii="Calibri" w:hAnsi="Calibri" w:cs="Arial"/>
                <w:b/>
                <w:sz w:val="20"/>
                <w:szCs w:val="20"/>
              </w:rPr>
              <w:t>Compliance</w:t>
            </w:r>
          </w:p>
        </w:tc>
        <w:tc>
          <w:tcPr>
            <w:tcW w:w="2188" w:type="dxa"/>
            <w:tcBorders>
              <w:bottom w:val="single" w:sz="4" w:space="0" w:color="auto"/>
            </w:tcBorders>
          </w:tcPr>
          <w:p w14:paraId="3D771472" w14:textId="77777777" w:rsidR="004731C0" w:rsidRPr="00E05732" w:rsidRDefault="004731C0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05732">
              <w:rPr>
                <w:rFonts w:ascii="Calibri" w:hAnsi="Calibri" w:cs="Arial"/>
                <w:b/>
                <w:sz w:val="20"/>
                <w:szCs w:val="20"/>
              </w:rPr>
              <w:t>Deliverable 2 Reference</w:t>
            </w:r>
          </w:p>
        </w:tc>
      </w:tr>
      <w:tr w:rsidR="004731C0" w:rsidRPr="006838A3" w14:paraId="74E8A9EE" w14:textId="77777777" w:rsidTr="00245D15">
        <w:trPr>
          <w:cantSplit/>
        </w:trPr>
        <w:tc>
          <w:tcPr>
            <w:tcW w:w="9242" w:type="dxa"/>
            <w:gridSpan w:val="4"/>
            <w:shd w:val="clear" w:color="auto" w:fill="C6D9F1" w:themeFill="text2" w:themeFillTint="33"/>
          </w:tcPr>
          <w:p w14:paraId="7E263C9E" w14:textId="77777777" w:rsidR="004731C0" w:rsidRPr="00E05732" w:rsidRDefault="004731C0" w:rsidP="004731C0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05732">
              <w:rPr>
                <w:rFonts w:ascii="Calibri" w:hAnsi="Calibri" w:cs="Arial"/>
                <w:b/>
                <w:sz w:val="20"/>
                <w:szCs w:val="20"/>
              </w:rPr>
              <w:t xml:space="preserve">Mandatory / Essential </w:t>
            </w:r>
          </w:p>
          <w:p w14:paraId="1BF08345" w14:textId="77777777" w:rsidR="004731C0" w:rsidRPr="006838A3" w:rsidRDefault="004731C0" w:rsidP="00BE6A5B">
            <w:pPr>
              <w:rPr>
                <w:rFonts w:ascii="Arial" w:hAnsi="Arial" w:cs="Arial"/>
                <w:sz w:val="20"/>
                <w:szCs w:val="20"/>
              </w:rPr>
            </w:pPr>
            <w:r w:rsidRPr="00E05732">
              <w:rPr>
                <w:rFonts w:ascii="Calibri" w:hAnsi="Calibri" w:cs="Arial"/>
                <w:i/>
                <w:sz w:val="20"/>
                <w:szCs w:val="20"/>
              </w:rPr>
              <w:t xml:space="preserve">(Note: Non-compliance in this section will result in a No-Go finding unless there are significant </w:t>
            </w:r>
            <w:r w:rsidR="00BE6A5B" w:rsidRPr="00E05732">
              <w:rPr>
                <w:rFonts w:ascii="Calibri" w:hAnsi="Calibri" w:cs="Arial"/>
                <w:i/>
                <w:sz w:val="20"/>
                <w:szCs w:val="20"/>
              </w:rPr>
              <w:t xml:space="preserve">and/or </w:t>
            </w:r>
            <w:r w:rsidRPr="00E05732">
              <w:rPr>
                <w:rFonts w:ascii="Calibri" w:hAnsi="Calibri" w:cs="Arial"/>
                <w:i/>
                <w:sz w:val="20"/>
                <w:szCs w:val="20"/>
              </w:rPr>
              <w:t>extenuating circumstances.</w:t>
            </w:r>
            <w:r w:rsidR="00D56D79" w:rsidRPr="00E05732">
              <w:rPr>
                <w:rFonts w:ascii="Calibri" w:hAnsi="Calibri" w:cs="Arial"/>
                <w:i/>
                <w:sz w:val="20"/>
                <w:szCs w:val="20"/>
              </w:rPr>
              <w:t xml:space="preserve"> Please read the rules in detail with a view to safety and specific requirements.</w:t>
            </w:r>
            <w:r w:rsidRPr="00E05732">
              <w:rPr>
                <w:rFonts w:ascii="Calibri" w:hAnsi="Calibri" w:cs="Arial"/>
                <w:i/>
                <w:sz w:val="20"/>
                <w:szCs w:val="20"/>
              </w:rPr>
              <w:t>)</w:t>
            </w:r>
          </w:p>
        </w:tc>
      </w:tr>
      <w:tr w:rsidR="004731C0" w:rsidRPr="006838A3" w14:paraId="315B5ECE" w14:textId="77777777" w:rsidTr="00F46A77">
        <w:trPr>
          <w:cantSplit/>
        </w:trPr>
        <w:tc>
          <w:tcPr>
            <w:tcW w:w="1384" w:type="dxa"/>
          </w:tcPr>
          <w:p w14:paraId="1CCC14B0" w14:textId="77777777" w:rsidR="004731C0" w:rsidRPr="00E05732" w:rsidRDefault="00283F72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5.1</w:t>
            </w:r>
          </w:p>
        </w:tc>
        <w:tc>
          <w:tcPr>
            <w:tcW w:w="3402" w:type="dxa"/>
          </w:tcPr>
          <w:p w14:paraId="5C4255EA" w14:textId="77777777" w:rsidR="004731C0" w:rsidRPr="00E05732" w:rsidRDefault="00283F72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Aircraft Requirements and Limitations</w:t>
            </w:r>
            <w:r w:rsidR="00997B1D" w:rsidRPr="00E05732">
              <w:rPr>
                <w:sz w:val="20"/>
                <w:szCs w:val="20"/>
              </w:rPr>
              <w:t>: All.</w:t>
            </w:r>
          </w:p>
        </w:tc>
        <w:tc>
          <w:tcPr>
            <w:tcW w:w="2268" w:type="dxa"/>
          </w:tcPr>
          <w:p w14:paraId="77E6D1C3" w14:textId="77777777" w:rsidR="004731C0" w:rsidRPr="00E05732" w:rsidRDefault="00283F72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6D0A2B49" w14:textId="77777777" w:rsidR="00283F72" w:rsidRPr="00E05732" w:rsidRDefault="00283F72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3A2B7CB1" w14:textId="77777777" w:rsidR="004731C0" w:rsidRPr="006838A3" w:rsidRDefault="004731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1C0" w:rsidRPr="006838A3" w14:paraId="0FE43C45" w14:textId="77777777" w:rsidTr="00F46A77">
        <w:trPr>
          <w:cantSplit/>
        </w:trPr>
        <w:tc>
          <w:tcPr>
            <w:tcW w:w="1384" w:type="dxa"/>
          </w:tcPr>
          <w:p w14:paraId="1950C9C6" w14:textId="77777777" w:rsidR="004731C0" w:rsidRPr="00E05732" w:rsidRDefault="00997B1D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5.3.1, 5.3.2</w:t>
            </w:r>
            <w:r w:rsidR="007765C7" w:rsidRPr="00E05732">
              <w:rPr>
                <w:sz w:val="20"/>
                <w:szCs w:val="20"/>
              </w:rPr>
              <w:t>, 5.18, 8</w:t>
            </w:r>
          </w:p>
        </w:tc>
        <w:tc>
          <w:tcPr>
            <w:tcW w:w="3402" w:type="dxa"/>
          </w:tcPr>
          <w:p w14:paraId="4B59689A" w14:textId="77777777" w:rsidR="00997B1D" w:rsidRPr="00E05732" w:rsidRDefault="00997B1D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Radio Equipment Frequencies: ACMA Compliance and Licensing.</w:t>
            </w:r>
          </w:p>
        </w:tc>
        <w:tc>
          <w:tcPr>
            <w:tcW w:w="2268" w:type="dxa"/>
          </w:tcPr>
          <w:p w14:paraId="400EB436" w14:textId="77777777" w:rsidR="00997B1D" w:rsidRPr="00E05732" w:rsidRDefault="00997B1D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0F245469" w14:textId="77777777" w:rsidR="004731C0" w:rsidRPr="00E05732" w:rsidRDefault="00997B1D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7FC6FCFC" w14:textId="77777777" w:rsidR="004731C0" w:rsidRPr="006838A3" w:rsidRDefault="004731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7B1D" w:rsidRPr="006838A3" w14:paraId="166135BD" w14:textId="77777777" w:rsidTr="00F46A77">
        <w:trPr>
          <w:cantSplit/>
        </w:trPr>
        <w:tc>
          <w:tcPr>
            <w:tcW w:w="1384" w:type="dxa"/>
          </w:tcPr>
          <w:p w14:paraId="41E8EC1F" w14:textId="77777777" w:rsidR="00997B1D" w:rsidRPr="00E05732" w:rsidRDefault="00997B1D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5.4</w:t>
            </w:r>
          </w:p>
        </w:tc>
        <w:tc>
          <w:tcPr>
            <w:tcW w:w="3402" w:type="dxa"/>
          </w:tcPr>
          <w:p w14:paraId="1FB73EED" w14:textId="77777777" w:rsidR="00997B1D" w:rsidRPr="00E05732" w:rsidRDefault="00997B1D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UAV Controller Override: Compliance to override requirement or Safety Case provided.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53F5BF85" w14:textId="77777777" w:rsidR="00997B1D" w:rsidRPr="00E05732" w:rsidRDefault="00997B1D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15C13EB7" w14:textId="77777777" w:rsidR="00997B1D" w:rsidRPr="00E05732" w:rsidRDefault="00997B1D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  <w:p w14:paraId="318FAD73" w14:textId="77777777" w:rsidR="00997B1D" w:rsidRPr="00E05732" w:rsidRDefault="00997B1D" w:rsidP="00E05732">
            <w:pPr>
              <w:rPr>
                <w:i/>
                <w:sz w:val="20"/>
                <w:szCs w:val="20"/>
              </w:rPr>
            </w:pPr>
            <w:r w:rsidRPr="00E05732">
              <w:rPr>
                <w:i/>
                <w:sz w:val="20"/>
                <w:szCs w:val="20"/>
              </w:rPr>
              <w:t>□ Override</w:t>
            </w:r>
          </w:p>
          <w:p w14:paraId="6FFDECBE" w14:textId="77777777" w:rsidR="00997B1D" w:rsidRPr="00E05732" w:rsidRDefault="00997B1D" w:rsidP="00E05732">
            <w:pPr>
              <w:rPr>
                <w:sz w:val="20"/>
                <w:szCs w:val="20"/>
              </w:rPr>
            </w:pPr>
            <w:r w:rsidRPr="00E05732">
              <w:rPr>
                <w:i/>
                <w:sz w:val="20"/>
                <w:szCs w:val="20"/>
              </w:rPr>
              <w:t>□ Safety Case</w:t>
            </w:r>
          </w:p>
        </w:tc>
        <w:tc>
          <w:tcPr>
            <w:tcW w:w="2188" w:type="dxa"/>
          </w:tcPr>
          <w:p w14:paraId="7B70184D" w14:textId="77777777" w:rsidR="00997B1D" w:rsidRPr="006838A3" w:rsidRDefault="00997B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D15" w:rsidRPr="006838A3" w14:paraId="510D6D4B" w14:textId="77777777" w:rsidTr="00F46A77">
        <w:trPr>
          <w:cantSplit/>
        </w:trPr>
        <w:tc>
          <w:tcPr>
            <w:tcW w:w="1384" w:type="dxa"/>
          </w:tcPr>
          <w:p w14:paraId="2A575F90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5.5</w:t>
            </w:r>
          </w:p>
        </w:tc>
        <w:tc>
          <w:tcPr>
            <w:tcW w:w="3402" w:type="dxa"/>
          </w:tcPr>
          <w:p w14:paraId="74F9F139" w14:textId="77777777" w:rsidR="00245D15" w:rsidRPr="00E05732" w:rsidRDefault="00245D15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In Flight Failures and Emergencies: All.</w:t>
            </w:r>
          </w:p>
          <w:p w14:paraId="33A816B6" w14:textId="77777777" w:rsidR="00245D15" w:rsidRPr="00E05732" w:rsidRDefault="00245D15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(Once activated it cannot be overridden – all modes.)</w:t>
            </w:r>
          </w:p>
        </w:tc>
        <w:tc>
          <w:tcPr>
            <w:tcW w:w="2268" w:type="dxa"/>
          </w:tcPr>
          <w:p w14:paraId="527C1976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7DE9996F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05B021CD" w14:textId="77777777" w:rsidR="00245D15" w:rsidRPr="006838A3" w:rsidRDefault="00245D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38A3" w:rsidRPr="006838A3" w14:paraId="085A40F0" w14:textId="77777777" w:rsidTr="00F46A77">
        <w:trPr>
          <w:cantSplit/>
        </w:trPr>
        <w:tc>
          <w:tcPr>
            <w:tcW w:w="1384" w:type="dxa"/>
          </w:tcPr>
          <w:p w14:paraId="0B26BC74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5.5.1</w:t>
            </w:r>
          </w:p>
        </w:tc>
        <w:tc>
          <w:tcPr>
            <w:tcW w:w="3402" w:type="dxa"/>
          </w:tcPr>
          <w:p w14:paraId="68185853" w14:textId="77777777" w:rsidR="006838A3" w:rsidRPr="00E05732" w:rsidRDefault="006838A3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Criteria for Flight Termination: All</w:t>
            </w:r>
          </w:p>
        </w:tc>
        <w:tc>
          <w:tcPr>
            <w:tcW w:w="2268" w:type="dxa"/>
          </w:tcPr>
          <w:p w14:paraId="09014C1C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11D18D7D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2F2DBA8B" w14:textId="77777777" w:rsidR="006838A3" w:rsidRPr="006838A3" w:rsidRDefault="006838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38A3" w:rsidRPr="006838A3" w14:paraId="1E3D31E2" w14:textId="77777777" w:rsidTr="00F46A77">
        <w:trPr>
          <w:cantSplit/>
        </w:trPr>
        <w:tc>
          <w:tcPr>
            <w:tcW w:w="1384" w:type="dxa"/>
          </w:tcPr>
          <w:p w14:paraId="0979F3E2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5.5.2</w:t>
            </w:r>
          </w:p>
        </w:tc>
        <w:tc>
          <w:tcPr>
            <w:tcW w:w="3402" w:type="dxa"/>
          </w:tcPr>
          <w:p w14:paraId="268DDD86" w14:textId="77777777" w:rsidR="006838A3" w:rsidRPr="00E05732" w:rsidRDefault="006838A3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Loss of Data Link: All</w:t>
            </w:r>
          </w:p>
        </w:tc>
        <w:tc>
          <w:tcPr>
            <w:tcW w:w="2268" w:type="dxa"/>
          </w:tcPr>
          <w:p w14:paraId="2B782EE7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3CAC29DC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33CEC3E0" w14:textId="77777777" w:rsidR="006838A3" w:rsidRPr="006838A3" w:rsidRDefault="006838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38A3" w:rsidRPr="006838A3" w14:paraId="50828DF2" w14:textId="77777777" w:rsidTr="00F46A77">
        <w:trPr>
          <w:cantSplit/>
        </w:trPr>
        <w:tc>
          <w:tcPr>
            <w:tcW w:w="1384" w:type="dxa"/>
          </w:tcPr>
          <w:p w14:paraId="2CAF65D9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5.5.3</w:t>
            </w:r>
          </w:p>
        </w:tc>
        <w:tc>
          <w:tcPr>
            <w:tcW w:w="3402" w:type="dxa"/>
          </w:tcPr>
          <w:p w14:paraId="5FE2F8E4" w14:textId="77777777" w:rsidR="006838A3" w:rsidRPr="00E05732" w:rsidRDefault="006838A3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Engine Failure: Procedure provided in Deliverable 2.</w:t>
            </w:r>
          </w:p>
        </w:tc>
        <w:tc>
          <w:tcPr>
            <w:tcW w:w="2268" w:type="dxa"/>
          </w:tcPr>
          <w:p w14:paraId="21733279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5B641828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29FFAC52" w14:textId="77777777" w:rsidR="006838A3" w:rsidRPr="006838A3" w:rsidRDefault="006838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38A3" w:rsidRPr="006838A3" w14:paraId="5A01A7DA" w14:textId="77777777" w:rsidTr="00F46A77">
        <w:trPr>
          <w:cantSplit/>
        </w:trPr>
        <w:tc>
          <w:tcPr>
            <w:tcW w:w="1384" w:type="dxa"/>
          </w:tcPr>
          <w:p w14:paraId="3B8C53AE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5.5.4</w:t>
            </w:r>
          </w:p>
        </w:tc>
        <w:tc>
          <w:tcPr>
            <w:tcW w:w="3402" w:type="dxa"/>
          </w:tcPr>
          <w:p w14:paraId="11732117" w14:textId="77777777" w:rsidR="006838A3" w:rsidRPr="00E05732" w:rsidRDefault="0071188B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Loss of GPS: All and nomination</w:t>
            </w:r>
            <w:r w:rsidR="006838A3" w:rsidRPr="00E05732">
              <w:rPr>
                <w:sz w:val="20"/>
                <w:szCs w:val="20"/>
              </w:rPr>
              <w:t xml:space="preserve"> of the implemented option for recovery.</w:t>
            </w:r>
          </w:p>
        </w:tc>
        <w:tc>
          <w:tcPr>
            <w:tcW w:w="2268" w:type="dxa"/>
          </w:tcPr>
          <w:p w14:paraId="08C931E5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298BDD0F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  <w:p w14:paraId="75AC4B22" w14:textId="77777777" w:rsidR="006838A3" w:rsidRPr="00E05732" w:rsidRDefault="006838A3" w:rsidP="00E05732">
            <w:pPr>
              <w:rPr>
                <w:i/>
                <w:sz w:val="20"/>
                <w:szCs w:val="20"/>
              </w:rPr>
            </w:pPr>
            <w:r w:rsidRPr="00E05732">
              <w:rPr>
                <w:i/>
                <w:sz w:val="20"/>
                <w:szCs w:val="20"/>
              </w:rPr>
              <w:t>□ Flight Termination</w:t>
            </w:r>
          </w:p>
          <w:p w14:paraId="6DCB4A84" w14:textId="77777777" w:rsidR="006838A3" w:rsidRPr="00E05732" w:rsidRDefault="006838A3" w:rsidP="00E05732">
            <w:pPr>
              <w:rPr>
                <w:i/>
                <w:sz w:val="20"/>
                <w:szCs w:val="20"/>
              </w:rPr>
            </w:pPr>
            <w:r w:rsidRPr="00E05732">
              <w:rPr>
                <w:i/>
                <w:sz w:val="20"/>
                <w:szCs w:val="20"/>
              </w:rPr>
              <w:t>□ Dead Reckon</w:t>
            </w:r>
          </w:p>
          <w:p w14:paraId="2AF68AD6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i/>
                <w:sz w:val="20"/>
                <w:szCs w:val="20"/>
              </w:rPr>
              <w:t>□ Video</w:t>
            </w:r>
          </w:p>
        </w:tc>
        <w:tc>
          <w:tcPr>
            <w:tcW w:w="2188" w:type="dxa"/>
          </w:tcPr>
          <w:p w14:paraId="4F390856" w14:textId="77777777" w:rsidR="006838A3" w:rsidRPr="006838A3" w:rsidRDefault="006838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38A3" w:rsidRPr="006838A3" w14:paraId="1605FD04" w14:textId="77777777" w:rsidTr="00F46A77">
        <w:trPr>
          <w:cantSplit/>
        </w:trPr>
        <w:tc>
          <w:tcPr>
            <w:tcW w:w="1384" w:type="dxa"/>
          </w:tcPr>
          <w:p w14:paraId="0C914385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5.5.2, 5.5.4</w:t>
            </w:r>
          </w:p>
        </w:tc>
        <w:tc>
          <w:tcPr>
            <w:tcW w:w="3402" w:type="dxa"/>
          </w:tcPr>
          <w:p w14:paraId="3BD7F951" w14:textId="77777777" w:rsidR="006838A3" w:rsidRPr="00E05732" w:rsidRDefault="006838A3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 xml:space="preserve">Loss of Data Link </w:t>
            </w:r>
            <w:r w:rsidRPr="00E05732">
              <w:rPr>
                <w:b/>
                <w:sz w:val="20"/>
                <w:szCs w:val="20"/>
              </w:rPr>
              <w:t>and</w:t>
            </w:r>
            <w:r w:rsidRPr="00E05732">
              <w:rPr>
                <w:sz w:val="20"/>
                <w:szCs w:val="20"/>
              </w:rPr>
              <w:t xml:space="preserve"> Loss of GPS: All.</w:t>
            </w:r>
          </w:p>
        </w:tc>
        <w:tc>
          <w:tcPr>
            <w:tcW w:w="2268" w:type="dxa"/>
          </w:tcPr>
          <w:p w14:paraId="67847483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5F76A87E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662AE0FB" w14:textId="77777777" w:rsidR="006838A3" w:rsidRPr="006838A3" w:rsidRDefault="006838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38A3" w:rsidRPr="006838A3" w14:paraId="51507624" w14:textId="77777777" w:rsidTr="00F46A77">
        <w:trPr>
          <w:cantSplit/>
        </w:trPr>
        <w:tc>
          <w:tcPr>
            <w:tcW w:w="1384" w:type="dxa"/>
          </w:tcPr>
          <w:p w14:paraId="7EC83148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5.5.5</w:t>
            </w:r>
          </w:p>
        </w:tc>
        <w:tc>
          <w:tcPr>
            <w:tcW w:w="3402" w:type="dxa"/>
          </w:tcPr>
          <w:p w14:paraId="61178526" w14:textId="77777777" w:rsidR="006838A3" w:rsidRPr="00E05732" w:rsidRDefault="006838A3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 xml:space="preserve">Mission Boundary Crossing – </w:t>
            </w:r>
            <w:proofErr w:type="spellStart"/>
            <w:r w:rsidRPr="00E05732">
              <w:rPr>
                <w:sz w:val="20"/>
                <w:szCs w:val="20"/>
              </w:rPr>
              <w:t>GeoFence</w:t>
            </w:r>
            <w:proofErr w:type="spellEnd"/>
            <w:r w:rsidRPr="00E05732">
              <w:rPr>
                <w:sz w:val="20"/>
                <w:szCs w:val="20"/>
              </w:rPr>
              <w:t>: All.</w:t>
            </w:r>
          </w:p>
        </w:tc>
        <w:tc>
          <w:tcPr>
            <w:tcW w:w="2268" w:type="dxa"/>
          </w:tcPr>
          <w:p w14:paraId="5E5BF585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08E6CCAE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1946EF21" w14:textId="77777777" w:rsidR="006838A3" w:rsidRPr="006838A3" w:rsidRDefault="006838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38A3" w:rsidRPr="006838A3" w14:paraId="6F25A0F7" w14:textId="77777777" w:rsidTr="00F46A77">
        <w:trPr>
          <w:cantSplit/>
        </w:trPr>
        <w:tc>
          <w:tcPr>
            <w:tcW w:w="1384" w:type="dxa"/>
          </w:tcPr>
          <w:p w14:paraId="16D122EA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5.5.2, 5.5.5</w:t>
            </w:r>
          </w:p>
        </w:tc>
        <w:tc>
          <w:tcPr>
            <w:tcW w:w="3402" w:type="dxa"/>
          </w:tcPr>
          <w:p w14:paraId="70352AB2" w14:textId="77777777" w:rsidR="006838A3" w:rsidRPr="00E05732" w:rsidRDefault="006838A3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 xml:space="preserve">Loss of Data Link </w:t>
            </w:r>
            <w:r w:rsidRPr="00E05732">
              <w:rPr>
                <w:b/>
                <w:sz w:val="20"/>
                <w:szCs w:val="20"/>
              </w:rPr>
              <w:t>and</w:t>
            </w:r>
            <w:r w:rsidRPr="00E05732">
              <w:rPr>
                <w:sz w:val="20"/>
                <w:szCs w:val="20"/>
              </w:rPr>
              <w:t xml:space="preserve"> Mission Boundary Crossing – </w:t>
            </w:r>
            <w:proofErr w:type="spellStart"/>
            <w:r w:rsidRPr="00E05732">
              <w:rPr>
                <w:sz w:val="20"/>
                <w:szCs w:val="20"/>
              </w:rPr>
              <w:t>GeoFence</w:t>
            </w:r>
            <w:proofErr w:type="spellEnd"/>
            <w:r w:rsidRPr="00E05732">
              <w:rPr>
                <w:sz w:val="20"/>
                <w:szCs w:val="20"/>
              </w:rPr>
              <w:t>: All.</w:t>
            </w:r>
          </w:p>
        </w:tc>
        <w:tc>
          <w:tcPr>
            <w:tcW w:w="2268" w:type="dxa"/>
          </w:tcPr>
          <w:p w14:paraId="42B3D7A4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0864747D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10D5A4F2" w14:textId="77777777" w:rsidR="006838A3" w:rsidRPr="006838A3" w:rsidRDefault="006838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38A3" w:rsidRPr="006838A3" w14:paraId="274CC03C" w14:textId="77777777" w:rsidTr="00F46A77">
        <w:trPr>
          <w:cantSplit/>
        </w:trPr>
        <w:tc>
          <w:tcPr>
            <w:tcW w:w="1384" w:type="dxa"/>
          </w:tcPr>
          <w:p w14:paraId="119D27C2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5.5.6</w:t>
            </w:r>
          </w:p>
        </w:tc>
        <w:tc>
          <w:tcPr>
            <w:tcW w:w="3402" w:type="dxa"/>
          </w:tcPr>
          <w:p w14:paraId="550AF30D" w14:textId="77777777" w:rsidR="006838A3" w:rsidRPr="00E05732" w:rsidRDefault="006838A3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“Lock Up” or Failure of Autopilot: All.</w:t>
            </w:r>
          </w:p>
        </w:tc>
        <w:tc>
          <w:tcPr>
            <w:tcW w:w="2268" w:type="dxa"/>
          </w:tcPr>
          <w:p w14:paraId="201B0EB2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490F7564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7117560A" w14:textId="77777777" w:rsidR="006838A3" w:rsidRPr="006838A3" w:rsidRDefault="006838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38A3" w:rsidRPr="006838A3" w14:paraId="1E0223E3" w14:textId="77777777" w:rsidTr="00F46A77">
        <w:trPr>
          <w:cantSplit/>
        </w:trPr>
        <w:tc>
          <w:tcPr>
            <w:tcW w:w="1384" w:type="dxa"/>
          </w:tcPr>
          <w:p w14:paraId="4677885A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5.5.7</w:t>
            </w:r>
          </w:p>
        </w:tc>
        <w:tc>
          <w:tcPr>
            <w:tcW w:w="3402" w:type="dxa"/>
          </w:tcPr>
          <w:p w14:paraId="72B6B444" w14:textId="77777777" w:rsidR="006838A3" w:rsidRPr="00E05732" w:rsidRDefault="006838A3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“Lock Up” or Failure of GCS: All.</w:t>
            </w:r>
          </w:p>
        </w:tc>
        <w:tc>
          <w:tcPr>
            <w:tcW w:w="2268" w:type="dxa"/>
          </w:tcPr>
          <w:p w14:paraId="662E9128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2383A07F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0BB0F05F" w14:textId="77777777" w:rsidR="006838A3" w:rsidRPr="006838A3" w:rsidRDefault="006838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38A3" w:rsidRPr="006838A3" w14:paraId="28F16A0E" w14:textId="77777777" w:rsidTr="00F46A77">
        <w:trPr>
          <w:cantSplit/>
        </w:trPr>
        <w:tc>
          <w:tcPr>
            <w:tcW w:w="1384" w:type="dxa"/>
          </w:tcPr>
          <w:p w14:paraId="532777DB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5.5.8</w:t>
            </w:r>
          </w:p>
        </w:tc>
        <w:tc>
          <w:tcPr>
            <w:tcW w:w="3402" w:type="dxa"/>
          </w:tcPr>
          <w:p w14:paraId="2C2DF5D6" w14:textId="77777777" w:rsidR="006838A3" w:rsidRPr="00E05732" w:rsidRDefault="006838A3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“Lock Up” or Failure of Stability Augmentation System (SAS): All.</w:t>
            </w:r>
          </w:p>
        </w:tc>
        <w:tc>
          <w:tcPr>
            <w:tcW w:w="2268" w:type="dxa"/>
          </w:tcPr>
          <w:p w14:paraId="7A3CCE15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09BAF671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  <w:p w14:paraId="648CF56F" w14:textId="77777777" w:rsidR="006838A3" w:rsidRPr="00E05732" w:rsidRDefault="006838A3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Not Applicable</w:t>
            </w:r>
          </w:p>
        </w:tc>
        <w:tc>
          <w:tcPr>
            <w:tcW w:w="2188" w:type="dxa"/>
          </w:tcPr>
          <w:p w14:paraId="0EB09FDC" w14:textId="77777777" w:rsidR="006838A3" w:rsidRPr="006838A3" w:rsidRDefault="006838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38A3" w:rsidRPr="006838A3" w14:paraId="68623A50" w14:textId="77777777" w:rsidTr="00F46A77">
        <w:trPr>
          <w:cantSplit/>
        </w:trPr>
        <w:tc>
          <w:tcPr>
            <w:tcW w:w="1384" w:type="dxa"/>
          </w:tcPr>
          <w:p w14:paraId="507E583A" w14:textId="77777777" w:rsidR="006838A3" w:rsidRPr="00E05732" w:rsidRDefault="00F46A77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5.6</w:t>
            </w:r>
          </w:p>
        </w:tc>
        <w:tc>
          <w:tcPr>
            <w:tcW w:w="3402" w:type="dxa"/>
          </w:tcPr>
          <w:p w14:paraId="1A0B8B4E" w14:textId="77777777" w:rsidR="006838A3" w:rsidRPr="00E05732" w:rsidRDefault="00F46A77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Flight Termination: All</w:t>
            </w:r>
            <w:r w:rsidR="0071188B" w:rsidRPr="00E05732">
              <w:rPr>
                <w:sz w:val="20"/>
                <w:szCs w:val="20"/>
              </w:rPr>
              <w:t xml:space="preserve"> and nomination of the implemented option</w:t>
            </w:r>
          </w:p>
          <w:p w14:paraId="47EBE7D5" w14:textId="77777777" w:rsidR="00F46A77" w:rsidRPr="00E05732" w:rsidRDefault="00F46A77" w:rsidP="001E459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029AE92" w14:textId="77777777" w:rsidR="00F46A77" w:rsidRPr="00E05732" w:rsidRDefault="00F46A77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1A1AE8DD" w14:textId="77777777" w:rsidR="006838A3" w:rsidRPr="00E05732" w:rsidRDefault="00F46A77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  <w:p w14:paraId="15642740" w14:textId="77777777" w:rsidR="00F46A77" w:rsidRPr="00E05732" w:rsidRDefault="00F46A77" w:rsidP="00E05732">
            <w:pPr>
              <w:rPr>
                <w:i/>
                <w:sz w:val="20"/>
                <w:szCs w:val="20"/>
              </w:rPr>
            </w:pPr>
            <w:r w:rsidRPr="00E05732">
              <w:rPr>
                <w:i/>
                <w:sz w:val="20"/>
                <w:szCs w:val="20"/>
              </w:rPr>
              <w:t>□ 5.6 Implemented</w:t>
            </w:r>
          </w:p>
          <w:p w14:paraId="3E42883C" w14:textId="77777777" w:rsidR="00F46A77" w:rsidRPr="00E05732" w:rsidRDefault="00F46A77" w:rsidP="00E05732">
            <w:pPr>
              <w:rPr>
                <w:i/>
                <w:sz w:val="20"/>
                <w:szCs w:val="20"/>
              </w:rPr>
            </w:pPr>
            <w:r w:rsidRPr="00E05732">
              <w:rPr>
                <w:i/>
                <w:sz w:val="20"/>
                <w:szCs w:val="20"/>
              </w:rPr>
              <w:t>□ 5.6.1 Implemented</w:t>
            </w:r>
          </w:p>
          <w:p w14:paraId="1971324D" w14:textId="77777777" w:rsidR="00F46A77" w:rsidRPr="00E05732" w:rsidRDefault="00F46A77" w:rsidP="00E05732">
            <w:pPr>
              <w:rPr>
                <w:sz w:val="20"/>
                <w:szCs w:val="20"/>
              </w:rPr>
            </w:pPr>
            <w:r w:rsidRPr="00E05732">
              <w:rPr>
                <w:i/>
                <w:sz w:val="20"/>
                <w:szCs w:val="20"/>
              </w:rPr>
              <w:t>□ 5.6.2 Pyrotechnics</w:t>
            </w:r>
          </w:p>
        </w:tc>
        <w:tc>
          <w:tcPr>
            <w:tcW w:w="2188" w:type="dxa"/>
          </w:tcPr>
          <w:p w14:paraId="26A378E9" w14:textId="77777777" w:rsidR="006838A3" w:rsidRPr="006838A3" w:rsidRDefault="006838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645" w:rsidRPr="006838A3" w14:paraId="2AA002A5" w14:textId="77777777" w:rsidTr="00F46A77">
        <w:tc>
          <w:tcPr>
            <w:tcW w:w="1384" w:type="dxa"/>
          </w:tcPr>
          <w:p w14:paraId="1B640DB2" w14:textId="77777777" w:rsidR="008D2645" w:rsidRPr="00E05732" w:rsidRDefault="008D264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5.6.1</w:t>
            </w:r>
          </w:p>
        </w:tc>
        <w:tc>
          <w:tcPr>
            <w:tcW w:w="3402" w:type="dxa"/>
          </w:tcPr>
          <w:p w14:paraId="686E1817" w14:textId="77777777" w:rsidR="008D2645" w:rsidRPr="00E05732" w:rsidRDefault="008D2645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Commercial off the shelf Flight Termination System used: manufacturer evidence provided</w:t>
            </w:r>
          </w:p>
        </w:tc>
        <w:tc>
          <w:tcPr>
            <w:tcW w:w="2268" w:type="dxa"/>
          </w:tcPr>
          <w:p w14:paraId="629F0D8F" w14:textId="77777777" w:rsidR="008D2645" w:rsidRPr="00E05732" w:rsidRDefault="008D264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0AD813AC" w14:textId="77777777" w:rsidR="008D2645" w:rsidRPr="00E05732" w:rsidRDefault="008D264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  <w:p w14:paraId="1E777678" w14:textId="77777777" w:rsidR="008D2645" w:rsidRPr="00E05732" w:rsidRDefault="008D264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Not Applicable</w:t>
            </w:r>
          </w:p>
        </w:tc>
        <w:tc>
          <w:tcPr>
            <w:tcW w:w="2188" w:type="dxa"/>
          </w:tcPr>
          <w:p w14:paraId="680889EC" w14:textId="77777777" w:rsidR="008D2645" w:rsidRPr="006838A3" w:rsidRDefault="008D26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A77" w:rsidRPr="006838A3" w14:paraId="2099EF1D" w14:textId="77777777" w:rsidTr="00F46A77">
        <w:tc>
          <w:tcPr>
            <w:tcW w:w="1384" w:type="dxa"/>
          </w:tcPr>
          <w:p w14:paraId="57923A99" w14:textId="77777777" w:rsidR="00F46A77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5.9</w:t>
            </w:r>
          </w:p>
        </w:tc>
        <w:tc>
          <w:tcPr>
            <w:tcW w:w="3402" w:type="dxa"/>
          </w:tcPr>
          <w:p w14:paraId="1FDEE470" w14:textId="77777777" w:rsidR="00F46A77" w:rsidRPr="00E05732" w:rsidRDefault="00245D15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Team Sponsors: All.</w:t>
            </w:r>
          </w:p>
        </w:tc>
        <w:tc>
          <w:tcPr>
            <w:tcW w:w="2268" w:type="dxa"/>
          </w:tcPr>
          <w:p w14:paraId="44EE62E5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0854CC9A" w14:textId="77777777" w:rsidR="00F46A77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3839E884" w14:textId="77777777" w:rsidR="00F46A77" w:rsidRPr="006838A3" w:rsidRDefault="00F46A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D15" w:rsidRPr="006838A3" w14:paraId="46081809" w14:textId="77777777" w:rsidTr="00F46A77">
        <w:tc>
          <w:tcPr>
            <w:tcW w:w="1384" w:type="dxa"/>
          </w:tcPr>
          <w:p w14:paraId="4C76F93C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5.15</w:t>
            </w:r>
          </w:p>
        </w:tc>
        <w:tc>
          <w:tcPr>
            <w:tcW w:w="3402" w:type="dxa"/>
          </w:tcPr>
          <w:p w14:paraId="0B445A80" w14:textId="77777777" w:rsidR="00245D15" w:rsidRPr="00E05732" w:rsidRDefault="00245D15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Situational Awareness: Graphical display of waypoints and aircraft location.</w:t>
            </w:r>
          </w:p>
        </w:tc>
        <w:tc>
          <w:tcPr>
            <w:tcW w:w="2268" w:type="dxa"/>
          </w:tcPr>
          <w:p w14:paraId="5850A2F6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288895A1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1AE1084C" w14:textId="77777777" w:rsidR="00245D15" w:rsidRPr="006838A3" w:rsidRDefault="00245D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D15" w:rsidRPr="006838A3" w14:paraId="2A48C4D4" w14:textId="77777777" w:rsidTr="00F46A77">
        <w:tc>
          <w:tcPr>
            <w:tcW w:w="1384" w:type="dxa"/>
          </w:tcPr>
          <w:p w14:paraId="3F8EF599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6.2.1</w:t>
            </w:r>
          </w:p>
        </w:tc>
        <w:tc>
          <w:tcPr>
            <w:tcW w:w="3402" w:type="dxa"/>
          </w:tcPr>
          <w:p w14:paraId="6A70D0BC" w14:textId="77777777" w:rsidR="00245D15" w:rsidRPr="00E05732" w:rsidRDefault="00245D15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Statement of Originality and Accuracy: All.</w:t>
            </w:r>
          </w:p>
        </w:tc>
        <w:tc>
          <w:tcPr>
            <w:tcW w:w="2268" w:type="dxa"/>
          </w:tcPr>
          <w:p w14:paraId="0504BA8E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21758F89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36104C38" w14:textId="77777777" w:rsidR="00245D15" w:rsidRPr="006838A3" w:rsidRDefault="00245D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D15" w:rsidRPr="006838A3" w14:paraId="468D5A8E" w14:textId="77777777" w:rsidTr="00F46A77">
        <w:tc>
          <w:tcPr>
            <w:tcW w:w="1384" w:type="dxa"/>
          </w:tcPr>
          <w:p w14:paraId="44B3D39B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6.2.2</w:t>
            </w:r>
          </w:p>
        </w:tc>
        <w:tc>
          <w:tcPr>
            <w:tcW w:w="3402" w:type="dxa"/>
          </w:tcPr>
          <w:p w14:paraId="41C9ABF0" w14:textId="77777777" w:rsidR="00245D15" w:rsidRPr="00E05732" w:rsidRDefault="00245D15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Compliance Statement: All.</w:t>
            </w:r>
          </w:p>
        </w:tc>
        <w:tc>
          <w:tcPr>
            <w:tcW w:w="2268" w:type="dxa"/>
          </w:tcPr>
          <w:p w14:paraId="70D5ECBA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59E793E7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2421FA55" w14:textId="77777777" w:rsidR="00245D15" w:rsidRPr="006838A3" w:rsidRDefault="00245D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D15" w:rsidRPr="006838A3" w14:paraId="0C444F11" w14:textId="77777777" w:rsidTr="00BE6A5B">
        <w:tc>
          <w:tcPr>
            <w:tcW w:w="1384" w:type="dxa"/>
            <w:tcBorders>
              <w:bottom w:val="single" w:sz="4" w:space="0" w:color="auto"/>
            </w:tcBorders>
          </w:tcPr>
          <w:p w14:paraId="37D7E4F6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6.3.1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0777001" w14:textId="77777777" w:rsidR="00245D15" w:rsidRPr="00E05732" w:rsidRDefault="00245D15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Requirements for Deliverable 3: Details of evidence to be provided.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110D0DF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6D29D440" w14:textId="77777777" w:rsidR="00245D15" w:rsidRPr="00E05732" w:rsidRDefault="00245D15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  <w:tcBorders>
              <w:bottom w:val="single" w:sz="4" w:space="0" w:color="auto"/>
            </w:tcBorders>
          </w:tcPr>
          <w:p w14:paraId="78C081E6" w14:textId="77777777" w:rsidR="00245D15" w:rsidRPr="006838A3" w:rsidRDefault="00245D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A5B" w:rsidRPr="006838A3" w14:paraId="33E7C360" w14:textId="77777777" w:rsidTr="00BE6A5B">
        <w:tc>
          <w:tcPr>
            <w:tcW w:w="9242" w:type="dxa"/>
            <w:gridSpan w:val="4"/>
            <w:shd w:val="clear" w:color="auto" w:fill="C6D9F1" w:themeFill="text2" w:themeFillTint="33"/>
          </w:tcPr>
          <w:p w14:paraId="3399F20E" w14:textId="0EE92831" w:rsidR="00BE6A5B" w:rsidRPr="00E05732" w:rsidRDefault="00BE6A5B" w:rsidP="001E459F">
            <w:pPr>
              <w:rPr>
                <w:b/>
                <w:sz w:val="20"/>
                <w:szCs w:val="20"/>
              </w:rPr>
            </w:pPr>
            <w:r w:rsidRPr="00E05732">
              <w:rPr>
                <w:b/>
                <w:sz w:val="20"/>
                <w:szCs w:val="20"/>
              </w:rPr>
              <w:t>Highly Desirable</w:t>
            </w:r>
          </w:p>
        </w:tc>
      </w:tr>
      <w:tr w:rsidR="00245D15" w:rsidRPr="006838A3" w14:paraId="517536B8" w14:textId="77777777" w:rsidTr="00F46A77">
        <w:tc>
          <w:tcPr>
            <w:tcW w:w="1384" w:type="dxa"/>
          </w:tcPr>
          <w:p w14:paraId="5D3F0DDE" w14:textId="77777777" w:rsidR="00245D15" w:rsidRPr="00E05732" w:rsidRDefault="00BE6A5B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5.14</w:t>
            </w:r>
          </w:p>
        </w:tc>
        <w:tc>
          <w:tcPr>
            <w:tcW w:w="3402" w:type="dxa"/>
          </w:tcPr>
          <w:p w14:paraId="5703EF3D" w14:textId="77777777" w:rsidR="00245D15" w:rsidRPr="00E05732" w:rsidRDefault="00BE6A5B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Access to Video Stream from UAV</w:t>
            </w:r>
          </w:p>
        </w:tc>
        <w:tc>
          <w:tcPr>
            <w:tcW w:w="2268" w:type="dxa"/>
          </w:tcPr>
          <w:p w14:paraId="4CFDDF16" w14:textId="77777777" w:rsidR="00BE6A5B" w:rsidRPr="00E05732" w:rsidRDefault="00BE6A5B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4264265C" w14:textId="77777777" w:rsidR="00245D15" w:rsidRPr="00E05732" w:rsidRDefault="00BE6A5B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17206952" w14:textId="77777777" w:rsidR="00245D15" w:rsidRPr="006838A3" w:rsidRDefault="00245D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A5B" w:rsidRPr="006838A3" w14:paraId="0A8F8B0E" w14:textId="77777777" w:rsidTr="00F46A77">
        <w:tc>
          <w:tcPr>
            <w:tcW w:w="1384" w:type="dxa"/>
          </w:tcPr>
          <w:p w14:paraId="18C11912" w14:textId="77777777" w:rsidR="00BE6A5B" w:rsidRPr="00E05732" w:rsidRDefault="00BE6A5B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5.15</w:t>
            </w:r>
          </w:p>
        </w:tc>
        <w:tc>
          <w:tcPr>
            <w:tcW w:w="3402" w:type="dxa"/>
          </w:tcPr>
          <w:p w14:paraId="42EB946A" w14:textId="77777777" w:rsidR="00BE6A5B" w:rsidRPr="00E05732" w:rsidRDefault="00BE6A5B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Situational Awareness: NMEA 0183 Output.</w:t>
            </w:r>
          </w:p>
        </w:tc>
        <w:tc>
          <w:tcPr>
            <w:tcW w:w="2268" w:type="dxa"/>
          </w:tcPr>
          <w:p w14:paraId="62A98E48" w14:textId="77777777" w:rsidR="00BE6A5B" w:rsidRPr="00E05732" w:rsidRDefault="00BE6A5B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1DC44FF4" w14:textId="77777777" w:rsidR="00BE6A5B" w:rsidRPr="00E05732" w:rsidRDefault="00BE6A5B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0F3BF76B" w14:textId="77777777" w:rsidR="00BE6A5B" w:rsidRPr="006838A3" w:rsidRDefault="00BE6A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A5B" w:rsidRPr="006838A3" w14:paraId="245C6890" w14:textId="77777777" w:rsidTr="00F46A77">
        <w:tc>
          <w:tcPr>
            <w:tcW w:w="1384" w:type="dxa"/>
          </w:tcPr>
          <w:p w14:paraId="3FD660FE" w14:textId="77777777" w:rsidR="00BE6A5B" w:rsidRPr="00E05732" w:rsidRDefault="00BE6A5B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5.16</w:t>
            </w:r>
          </w:p>
        </w:tc>
        <w:tc>
          <w:tcPr>
            <w:tcW w:w="3402" w:type="dxa"/>
          </w:tcPr>
          <w:p w14:paraId="1E53C000" w14:textId="77777777" w:rsidR="00BE6A5B" w:rsidRPr="00E05732" w:rsidRDefault="00BE6A5B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Li-Po Battery Management</w:t>
            </w:r>
          </w:p>
        </w:tc>
        <w:tc>
          <w:tcPr>
            <w:tcW w:w="2268" w:type="dxa"/>
          </w:tcPr>
          <w:p w14:paraId="0DF97DAB" w14:textId="77777777" w:rsidR="00BE6A5B" w:rsidRPr="00E05732" w:rsidRDefault="00BE6A5B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3756CF68" w14:textId="77777777" w:rsidR="00BE6A5B" w:rsidRPr="00E05732" w:rsidRDefault="00BE6A5B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185F8ACC" w14:textId="77777777" w:rsidR="00BE6A5B" w:rsidRPr="006838A3" w:rsidRDefault="00BE6A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A5B" w:rsidRPr="006838A3" w14:paraId="544531CB" w14:textId="77777777" w:rsidTr="00F46A77">
        <w:tc>
          <w:tcPr>
            <w:tcW w:w="1384" w:type="dxa"/>
          </w:tcPr>
          <w:p w14:paraId="0824157D" w14:textId="77777777" w:rsidR="00BE6A5B" w:rsidRPr="00E05732" w:rsidRDefault="00BE6A5B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6.2</w:t>
            </w:r>
          </w:p>
        </w:tc>
        <w:tc>
          <w:tcPr>
            <w:tcW w:w="3402" w:type="dxa"/>
          </w:tcPr>
          <w:p w14:paraId="6B590039" w14:textId="77777777" w:rsidR="00BE6A5B" w:rsidRPr="00E05732" w:rsidRDefault="00BE6A5B" w:rsidP="001E459F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Deliverable 2: Max 1</w:t>
            </w:r>
            <w:r w:rsidR="002466D4" w:rsidRPr="00E05732">
              <w:rPr>
                <w:sz w:val="20"/>
                <w:szCs w:val="20"/>
              </w:rPr>
              <w:t>7</w:t>
            </w:r>
            <w:r w:rsidRPr="00E05732">
              <w:rPr>
                <w:sz w:val="20"/>
                <w:szCs w:val="20"/>
              </w:rPr>
              <w:t xml:space="preserve"> pages.</w:t>
            </w:r>
          </w:p>
        </w:tc>
        <w:tc>
          <w:tcPr>
            <w:tcW w:w="2268" w:type="dxa"/>
          </w:tcPr>
          <w:p w14:paraId="506A842A" w14:textId="77777777" w:rsidR="00BE6A5B" w:rsidRPr="00E05732" w:rsidRDefault="00BE6A5B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Compliant</w:t>
            </w:r>
          </w:p>
          <w:p w14:paraId="215D2A08" w14:textId="77777777" w:rsidR="00BE6A5B" w:rsidRPr="00E05732" w:rsidRDefault="00BE6A5B" w:rsidP="00E05732">
            <w:pPr>
              <w:rPr>
                <w:sz w:val="20"/>
                <w:szCs w:val="20"/>
              </w:rPr>
            </w:pPr>
            <w:r w:rsidRPr="00E05732">
              <w:rPr>
                <w:sz w:val="20"/>
                <w:szCs w:val="20"/>
              </w:rPr>
              <w:t>□ Non-Compliant</w:t>
            </w:r>
          </w:p>
        </w:tc>
        <w:tc>
          <w:tcPr>
            <w:tcW w:w="2188" w:type="dxa"/>
          </w:tcPr>
          <w:p w14:paraId="0E224888" w14:textId="77777777" w:rsidR="00BE6A5B" w:rsidRPr="006838A3" w:rsidRDefault="00BE6A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940EE9" w14:textId="77777777" w:rsidR="00B0103B" w:rsidRDefault="00B0103B"/>
    <w:p w14:paraId="340CFC81" w14:textId="77777777" w:rsidR="003F05B8" w:rsidRDefault="003F05B8">
      <w:r>
        <w:t>Additional Information:</w:t>
      </w:r>
    </w:p>
    <w:p w14:paraId="713F9E14" w14:textId="77777777" w:rsidR="003F05B8" w:rsidRDefault="003F05B8"/>
    <w:p w14:paraId="30A04E77" w14:textId="77777777" w:rsidR="003F05B8" w:rsidRDefault="003F05B8"/>
    <w:p w14:paraId="10EF05F9" w14:textId="77777777" w:rsidR="00D56D79" w:rsidRDefault="00D56D79"/>
    <w:p w14:paraId="3CC4D3A9" w14:textId="77777777" w:rsidR="00D56D79" w:rsidRDefault="00D56D79"/>
    <w:p w14:paraId="65F8C8B1" w14:textId="77777777" w:rsidR="003F05B8" w:rsidRDefault="003F05B8"/>
    <w:p w14:paraId="14382763" w14:textId="77777777" w:rsidR="003F05B8" w:rsidRDefault="003F05B8">
      <w:r>
        <w:t>Date:</w:t>
      </w:r>
    </w:p>
    <w:p w14:paraId="494BC8D2" w14:textId="77777777" w:rsidR="003F05B8" w:rsidRDefault="003F05B8">
      <w:r>
        <w:t>Signed by a team representative, on behalf of all team members:</w:t>
      </w:r>
    </w:p>
    <w:p w14:paraId="7B64018B" w14:textId="77777777" w:rsidR="00D56D79" w:rsidRDefault="00D56D79">
      <w:r>
        <w:t>Printed Name:</w:t>
      </w:r>
    </w:p>
    <w:sectPr w:rsidR="00D56D79" w:rsidSect="00526EF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0F17E" w14:textId="77777777" w:rsidR="00526EFB" w:rsidRDefault="00526EFB" w:rsidP="004731C0">
      <w:r>
        <w:separator/>
      </w:r>
    </w:p>
  </w:endnote>
  <w:endnote w:type="continuationSeparator" w:id="0">
    <w:p w14:paraId="7C4A1A68" w14:textId="77777777" w:rsidR="00526EFB" w:rsidRDefault="00526EFB" w:rsidP="00473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4889484"/>
      <w:docPartObj>
        <w:docPartGallery w:val="Page Numbers (Bottom of Page)"/>
        <w:docPartUnique/>
      </w:docPartObj>
    </w:sdtPr>
    <w:sdtContent>
      <w:sdt>
        <w:sdtPr>
          <w:id w:val="-515609858"/>
          <w:docPartObj>
            <w:docPartGallery w:val="Page Numbers (Top of Page)"/>
            <w:docPartUnique/>
          </w:docPartObj>
        </w:sdtPr>
        <w:sdtContent>
          <w:p w14:paraId="3FE9E0FE" w14:textId="77777777" w:rsidR="00526EFB" w:rsidRDefault="00526E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59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59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69488B" w14:textId="77777777" w:rsidR="00526EFB" w:rsidRDefault="00526E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C28DB" w14:textId="77777777" w:rsidR="00526EFB" w:rsidRDefault="00526EFB" w:rsidP="004731C0">
      <w:r>
        <w:separator/>
      </w:r>
    </w:p>
  </w:footnote>
  <w:footnote w:type="continuationSeparator" w:id="0">
    <w:p w14:paraId="5643CA30" w14:textId="77777777" w:rsidR="00526EFB" w:rsidRDefault="00526EFB" w:rsidP="004731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ECB5C" w14:textId="77777777" w:rsidR="00526EFB" w:rsidRDefault="00526EFB" w:rsidP="004731C0">
    <w:pPr>
      <w:pStyle w:val="Header"/>
      <w:jc w:val="center"/>
    </w:pPr>
    <w:r>
      <w:rPr>
        <w:noProof/>
        <w:lang w:val="en-US"/>
      </w:rPr>
      <w:drawing>
        <wp:inline distT="0" distB="0" distL="0" distR="0" wp14:anchorId="78C6C1E8" wp14:editId="7C09D09F">
          <wp:extent cx="4571365" cy="1707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571365" cy="1707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F6C74C5" w14:textId="77777777" w:rsidR="00526EFB" w:rsidRPr="004731C0" w:rsidRDefault="00526EFB" w:rsidP="004731C0">
    <w:pPr>
      <w:pStyle w:val="Header"/>
      <w:jc w:val="center"/>
      <w:rPr>
        <w:rFonts w:ascii="Arial" w:hAnsi="Arial" w:cs="Arial"/>
        <w:b/>
        <w:sz w:val="72"/>
        <w:szCs w:val="72"/>
      </w:rPr>
    </w:pPr>
    <w:r w:rsidRPr="004731C0">
      <w:rPr>
        <w:rFonts w:ascii="Arial" w:hAnsi="Arial" w:cs="Arial"/>
        <w:b/>
        <w:sz w:val="72"/>
        <w:szCs w:val="72"/>
      </w:rPr>
      <w:t>Compliance Statement</w:t>
    </w:r>
  </w:p>
  <w:p w14:paraId="6EC87611" w14:textId="77777777" w:rsidR="00526EFB" w:rsidRDefault="00526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C0"/>
    <w:rsid w:val="00074DFA"/>
    <w:rsid w:val="000D2F9A"/>
    <w:rsid w:val="000F0C38"/>
    <w:rsid w:val="001E459F"/>
    <w:rsid w:val="00222D70"/>
    <w:rsid w:val="00245D15"/>
    <w:rsid w:val="002466D4"/>
    <w:rsid w:val="00283F72"/>
    <w:rsid w:val="002D0E10"/>
    <w:rsid w:val="003C4F7B"/>
    <w:rsid w:val="003F05B8"/>
    <w:rsid w:val="00445581"/>
    <w:rsid w:val="00453FF0"/>
    <w:rsid w:val="004731C0"/>
    <w:rsid w:val="00526EFB"/>
    <w:rsid w:val="00655BAC"/>
    <w:rsid w:val="0068095E"/>
    <w:rsid w:val="006838A3"/>
    <w:rsid w:val="0071188B"/>
    <w:rsid w:val="007765C7"/>
    <w:rsid w:val="008D2645"/>
    <w:rsid w:val="00997B1D"/>
    <w:rsid w:val="00A215F2"/>
    <w:rsid w:val="00A4499D"/>
    <w:rsid w:val="00AF6161"/>
    <w:rsid w:val="00B0103B"/>
    <w:rsid w:val="00BD2276"/>
    <w:rsid w:val="00BE6A5B"/>
    <w:rsid w:val="00D53E9E"/>
    <w:rsid w:val="00D56D79"/>
    <w:rsid w:val="00D57493"/>
    <w:rsid w:val="00D80DF5"/>
    <w:rsid w:val="00E05732"/>
    <w:rsid w:val="00F46A77"/>
    <w:rsid w:val="00FB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B5D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1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1C0"/>
  </w:style>
  <w:style w:type="paragraph" w:styleId="Footer">
    <w:name w:val="footer"/>
    <w:basedOn w:val="Normal"/>
    <w:link w:val="FooterChar"/>
    <w:uiPriority w:val="99"/>
    <w:unhideWhenUsed/>
    <w:rsid w:val="004731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1C0"/>
  </w:style>
  <w:style w:type="paragraph" w:styleId="BalloonText">
    <w:name w:val="Balloon Text"/>
    <w:basedOn w:val="Normal"/>
    <w:link w:val="BalloonTextChar"/>
    <w:uiPriority w:val="99"/>
    <w:semiHidden/>
    <w:unhideWhenUsed/>
    <w:rsid w:val="004731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26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1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1C0"/>
  </w:style>
  <w:style w:type="paragraph" w:styleId="Footer">
    <w:name w:val="footer"/>
    <w:basedOn w:val="Normal"/>
    <w:link w:val="FooterChar"/>
    <w:uiPriority w:val="99"/>
    <w:unhideWhenUsed/>
    <w:rsid w:val="004731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1C0"/>
  </w:style>
  <w:style w:type="paragraph" w:styleId="BalloonText">
    <w:name w:val="Balloon Text"/>
    <w:basedOn w:val="Normal"/>
    <w:link w:val="BalloonTextChar"/>
    <w:uiPriority w:val="99"/>
    <w:semiHidden/>
    <w:unhideWhenUsed/>
    <w:rsid w:val="004731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472</Words>
  <Characters>2693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Williams</dc:creator>
  <cp:lastModifiedBy>Frousheger, Dennis (ICT Centre, Pullenvale)</cp:lastModifiedBy>
  <cp:revision>7</cp:revision>
  <cp:lastPrinted>2012-03-15T03:17:00Z</cp:lastPrinted>
  <dcterms:created xsi:type="dcterms:W3CDTF">2012-03-15T02:00:00Z</dcterms:created>
  <dcterms:modified xsi:type="dcterms:W3CDTF">2012-03-15T03:36:00Z</dcterms:modified>
</cp:coreProperties>
</file>