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4"/>
          <w:szCs w:val="24"/>
          <w:rtl w:val="0"/>
        </w:rPr>
        <w:t xml:space="preserve">5@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שמתו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הקדימו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שיקראו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ויתפללו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וחזרו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יגיעו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הוציאוהו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ומבטלין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קריאתה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ופריק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דהוויין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הקדוו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שיקראו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ויתפללו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הוציאוהו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סובלי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וחלופי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חילופיהן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פטורים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ואסורים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בנעילת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הסנדל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ומותרין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בנעילת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הסנדל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פטורים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וחזרו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יגיעו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עומדין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ומתפללין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עומדין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להתהיל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מתחילין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וגומרים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שורתם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ומתפללין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ובשורה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כדבעינן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הכתפים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בנעילת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הסנדל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סנדלי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מתעכב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–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לקוטים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].6@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4"/>
          <w:szCs w:val="24"/>
          <w:rtl w:val="0"/>
        </w:rPr>
        <w:t xml:space="preserve">2@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רבותי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הצרפתים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עירובין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4@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תועבה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1@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כנגדו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שחטא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תועבה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להשוות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ושכור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שיפוג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מרביעית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ופשיטא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דשתוי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רגלים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דמשוינן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רגלים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חמירי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העמוד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לארעא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דגזור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בודאן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בספיקן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דתדיר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ואכתוב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המרחץ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עומדין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ערומין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ובכמה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להרהר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המרחץ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הכסא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לאמרן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הטנופת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במבואות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המטונפות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הרהור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משיבין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במרחץ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הטנופת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וכנגד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רבותינו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הצרפתים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כנגדו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שחטא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תועבה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דרחמנא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מחניך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כתיבי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שבקדושה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משתמעי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ושינון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חילוק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והפרש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שהזכירו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תועבה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שתפסו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שמזכירין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דשקולין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בדחבריה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חמיר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ויצאת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דגזרו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מדרשין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בטלין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כשמקצ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חלוק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והפרש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הותרו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דתרווייהו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ומסתברא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ושתוי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ויוצאין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חובתן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דתפל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ומצינו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לכוונה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חמיר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בכולה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מיושבת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מגלה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מתנמנם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מתנמנם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לאהדורי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מדכרו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ולכתחלה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יתפלל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דתרומה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יתרומו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תרמו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תרומתן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האנס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והשכור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הערום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והסומא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לתרום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המובחר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יתרום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ושכור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לתרום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המובחר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ראויין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ואכלת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ושבעת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מתנמנם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חזקיה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נתבררה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העלוה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ומסתברא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כדכתיבנא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בעיירות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4@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1@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ובילדותי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נתקשה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שאהבת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לעשייתן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במגלה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בהסדיר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נפטר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באהבה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שתיקנו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שזמנה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ביצירת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ובעריבתו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ומעריב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ערבים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השבח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בפלוגתא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מאורות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פורס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וכדפרישית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לחובת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בשמעת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הממונ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ויציב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לחברתה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פרטו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הפורס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והעוב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התיבה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והנושא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כפיו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והקורא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והמפטיר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בנביא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האמורות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יענה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לראשונים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וכמדומה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בשמעת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דטול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הוצרכתי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והשיב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בספרד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ונתבטל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השבוש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צרפתים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מקשים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בידינו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תיבות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איבריו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וכשמנו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ובשכמל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שהצריכו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משלימין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בילמדנו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קדושים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בעיניך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תיבות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למדת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לקרותה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כתקנה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אשמור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מקלס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שמרני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כאישון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מצותי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להודיעם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ומהיכן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הצבור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בעצמן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לירד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התיבה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החזן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והצבור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המוטלת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ויחיד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ולהשלים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המדרש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שהמדרש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נוטריקון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תיבות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תיבות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ברמז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שהחזן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ומשמיע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לצבור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בלחש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ויחיד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בפריסת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וסדר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ביחיד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בפסוקים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קדושה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פסוקים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ותרגום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בלחש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בתרגום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שבקדושה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ביחיד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בצבור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וטועה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צלף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אביונות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וקפר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אביונות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1@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באביונות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וקפרס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דעבדי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צלף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דדמי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ונטעי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אדעתא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דתמרות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שהזכירו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באתרוג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וצלף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בתרתי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נהיג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ופליג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בקפרס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ונטעי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אדעתא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כותיה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זריעתו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לזרע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זרעים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שזרעה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זרעיו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שזרעה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לזרע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בזרעוני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אתרוג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לשמואל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דדעתא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דאיניש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נטיעה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דחזי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ומסקנא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דזורק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אביונות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הקפרס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דבעלמא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וחייש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ומילתייהו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ומדלגבי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נהיג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דחזי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דנפיק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אתרוג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התמרות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בתמרות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דאתרוג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שטעם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והוצרכתי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מיחוורא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כפשטא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האביונות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הקפריסין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דסיים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אקפריסין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ברשב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&gt;,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קפריסין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אקשי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דאיירי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תיובתא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דאפיק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ואוקמיה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2@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ב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4@[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ברטיבת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ביבשתא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.] 1@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נוהג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הימלתא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הנדואי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שריא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דפלפלי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הנוהג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הימלתא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דהנדאי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דזנגבילא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רטיבתא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ובזנגבילא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דשרשין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ונוהג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והתימה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שמקצת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רטיבתא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מותבינן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האיי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ואדרבה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הנותנת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שסברו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תמרותיהן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שנעשות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אבעבועות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וכשהן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מתבשלות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השחור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בתולדתן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צלף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אתרוג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דכגופא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שריבה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וקבלת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ומעתה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שהימלתא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הנדואי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בהנדואה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הפלפלין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ביבישתא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במלתייהו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קיימי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במילתייהו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קיימי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ביבישתא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דיבישיא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כשינויא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דאישתנו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לגריעותא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דאינשי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בעינייהו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גרעינן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עלייהו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לטעמיה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בקמחא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דחטי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דסוכ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אכלינן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ואפירחא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 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שנותנין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רותחין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מוצקין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שנותנין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ויוצקין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רותחין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וישהא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שימוח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שנמוח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הפרוסות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בחביצא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משמיה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גופא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ותורית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גופא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דפליגא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בלכתחלה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שתכלה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שמתחייב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בטחנה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ובשלה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ובטרוקנין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לאתסורי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לאהדורי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דטחנה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ובשלה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בישול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בפרוסות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דחביצא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ומאחרינן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דפליגא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בחביצא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אהלכת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בחביצא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דמסקנא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דאשכחין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נסחי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בתרוייהו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שתכלה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בדאיפשר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והדרא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לדוכתא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דחביצ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מדייק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מדתניא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חובתו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ואוקימנא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בשעירסן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מבושלין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דחביצא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דפריס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מבושל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שרוי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בחיוב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דפרוסות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דצנימתן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דפתותין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דאיירינן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בחיוב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צונם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בתחנה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לצנום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התבשיל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בולע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והילכך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כרבינו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ברבינו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דתוריתא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שהוצרך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דבקערה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במבושלין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ברקיק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השרוי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במבושל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רותחין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דמאפת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בקדירה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דאיתיה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מתורת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ומברכי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ברקיק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השרוי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ובמבושל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נימוח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ברקיק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השרוי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במבושל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נימוח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ולדבריהם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טחנה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ובשלה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שהפרוסות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מחוור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כהוגן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הצנומה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בקערה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בבישול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בישול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ופוטר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נקיה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שנתפרש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כשרוצה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כיבוד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ומניח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בחטין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ושעורין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דחשיב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הדגן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המובחר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קלוסין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קלוסים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קלוסין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קלוסין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חטין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כוסמין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כוסמין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הטהור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נקייה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ברחייא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כסברת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וחשוב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ונסמוך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שמניח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ודומיא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הנהנין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קידוש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דמקדש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אריפתא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אתרתי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בציעה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ולאכול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הזבח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מנחות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בפרקין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השנמה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שהביאו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מנהגא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שמביאין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דסליק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אדעתיה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דאלמא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וקביעות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למפריסהון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ואשכחי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טרוקנין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חובתו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טרוקנין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דמעיילי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בהביאו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צרכינן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לחשיבותא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בוצע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ואיתיה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קמיה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דמחייבינן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לאיתויי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וליפטר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דחובה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שנילושה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ודבש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דמנהגא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עבדינן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למפרס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ולאקבועי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בפרוסה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קשואים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ואבטיחים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ושומים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הירקות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שירקן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וזרען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זרעוני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נאכלין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בטעמיה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ולפום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בכוסס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ובכוסס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זרעונים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הזרעים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זרעים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הירקות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ופסקו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פפא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בנוסחי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וצדקו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דהוו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בכוסס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אוקמוה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לטעמיה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אזיל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ולפום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כההיא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מודעי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&gt; 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בחבוריהם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ובכולם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סומכים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')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וצנון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ובשלקות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בסילק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וכרתי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וכרוב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ודורמסקני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דתלמידי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קפרא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שפסקו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דכרוב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ודורמסקנין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בפלוגתא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בפלוגתא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דתלמידי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דפירות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נקטי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דרויחא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ושלקות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דורמסקנין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לרווחא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דשלקות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ארישא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קיימ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דדייקי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ונקיט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וירקות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דגופייהו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איכפת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לאדכורי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ויגיד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ריעו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מהנך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דמימרא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ושמעתא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דבפלונת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ושהכל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למדחי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דמפרשא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ואסמכיה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ואשכחן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אקב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ואיתימא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פפא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ואסמכוה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ודרשי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וכולה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בשתיהן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הימלתא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הנדואי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וזנגבילא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ושרשין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דשאים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ובתמרות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אתרוג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שהזכרתי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ובתרתי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שאכלו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ששנינו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הסיבו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דחובת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קובעת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בחבור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ליחלק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דכיצד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ניכול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ובורא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נשנית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וכולה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מזונא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בקיאין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חבורות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מצטרפין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שחובת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קובעתן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ליחלק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קבועין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מחבורה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לחבורה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קובעין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בשהסיבו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במסיבה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דחובתן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קובעתן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להמוציא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בפסחים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האגף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ולפנים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כלפנים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במקהלות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נפיק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כשהסיבו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דיתבו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ואימלוך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אימלוכי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מנהון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איקרי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מחייבין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סעודתייהו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יושבין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באורחא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ניזיל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נכרוך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רפתא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בדוכתא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מטו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ואיניש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נכרוך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לחודיה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איקבעו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עובדא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דשמואל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מסרהיב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ואכיל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דגמר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סעודתייהו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איצטריף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בהדייהו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גוזליא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הסיבו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מדעתן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שעומד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ומכריע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כדברינו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4@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ניטלה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תרומתו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1@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רבותינו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בחבורה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בתוספתא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דמסכת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ואשתנו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מאכילין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טהרות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נדור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מאבטיח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שנוקר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ואוכלנו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ונתגלה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ואשתנו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מאכילין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יושיט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לנזיר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החי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מאכילין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וכותי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באורייתא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מזהר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זהירי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1@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דאכיל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לנפשיה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לאחריני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תתן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מכשול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ששנינו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הלוקח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הכותים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לוגין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עתיד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להפריש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שמעתתא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המלחמות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שמעתתא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כנון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שמעתתא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שהלשון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שהשמועות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חולקות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בשמועה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לקיימן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המוטל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בעריסה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וארון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ותשעה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שנראין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והמחדדין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לקיימן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וגמרא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מתפרשת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ובכתובות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נזונית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בהסכמת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שמצאו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החמיר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ופסקו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ודחו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השמועות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שעולה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בהדדי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דנימא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שמעתתא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שהעמידה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כשהגיע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שנותיו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פורחין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באויר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שהקשו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דלשני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נצרכא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כגדול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מדקדקין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מופלא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עשאוהו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כגדול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מדקדקין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נצרכא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להראב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דמקילינן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כדמקילינן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באכילת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ובכוס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הנוטה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נוטה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ועבדים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וקטנים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שיחלוק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משנתנו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לקטנים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והעבדים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חייבות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קביעות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זבדי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מתניתא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מאימתי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איתפלגון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תרויהון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ותנינא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ניסא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סגיאין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אכלית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חלפת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סיסי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חביבי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שהבאתי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שיביא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כסתמא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ממקומות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להעמידן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מצטרפין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שיודעין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המוטל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בעריסה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ומתרצינן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סניפין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ושמעת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אקשינן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כדעבדי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מתרצינן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שהנשים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והעבדים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יודעין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לדבריו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וסוגית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חולקת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ניסא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סומכין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. 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7@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4@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והמטיב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חתמו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בשלמ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פתיחה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להפריש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חתימתה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סלקיה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מאריכי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הוצרכו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להפריש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ופתחו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להעלותה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והחזירו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תהלה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לפתיח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שנתלין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שמקצרין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מילתא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דפתיחה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דפתיחה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וחתימ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בנוסח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ארוכו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שאומרן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כמטבען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שנויה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בתוספתא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והביאו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לאחריה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לשוח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שמקצרין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הפירו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הזימון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שמאריכין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תענית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וברכו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ויוה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המקצרין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חזקיה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מגונה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משובח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בתענית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בשש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בגואל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בתענית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ברורים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דפתיחה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וחתימה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יוסיף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שתיקנו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שהאריכו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גואל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בתענית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בפתיחה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וחתימה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דרכנו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שהמוסיפים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בפיוטים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וזמירות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נוהגין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כשורה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במדרש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גערת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הדרשנין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מאיש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כסילים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החזנין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שמוסיפין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מעובדא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דמנימין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רעיא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שהמקצר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המאריך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לקצר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להראב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שאחר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ולאחריו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במקו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')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שלאחריו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לשלפניו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פתחו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בברוך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במגלה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וקריאת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במגיל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שאלמלא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מגלה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עושיו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נסים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בחובה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תקנוה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ההלל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לגמור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שהוזכר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ובמס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סופרים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פסחים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הנהיגו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ובסמוכה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בקריאה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שעשו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שהפותח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והחותם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לאחריה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שביעי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ותקנו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בפתיחה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מלכיות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מדידה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ארעא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לשנותה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הסמוכות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קבעוה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בהטוב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והמטיב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דהשלימו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השלימו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סמוכות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מטב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מלכותך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משיחך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עבדך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מהרה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תחזירנה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למקומה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בבונה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ומשתבש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והמטיב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אומרין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מלכיות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אורח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ארעא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לאמרינהו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חוששין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והמטיב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החזירו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שבברכות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קיימה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עבדך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תכין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ובזמן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החורבן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תחזירנה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למקומה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ותפלות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תורף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מתקנין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.6@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1"/>
        </w:rPr>
        <w:t xml:space="preserve">ב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@4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52525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52525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52525"/>
          <w:sz w:val="24"/>
          <w:szCs w:val="24"/>
          <w:rtl w:val="1"/>
        </w:rPr>
        <w:t xml:space="preserve">מאיר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ואכלת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ושבעת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שתייה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בכזית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0"/>
        </w:rPr>
        <w:t xml:space="preserve">@1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בקרא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חטה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ושעורה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גפן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וזית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ושמן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דמשכחת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בשתיה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אהדרינהו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דארץ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כדאמרן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בכיצד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לאיפלוגי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ושמעינן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דברכה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הגפן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לשבעת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המינין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דבכלל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ונפקא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שנסתפק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בירך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שחוזר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שמתו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מדליקין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המינין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דחיובא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ומברך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52525"/>
          <w:sz w:val="24"/>
          <w:szCs w:val="24"/>
          <w:rtl w:val="1"/>
        </w:rPr>
        <w:t xml:space="preserve">.6@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@2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4d4d4d"/>
          <w:sz w:val="24"/>
          <w:szCs w:val="24"/>
          <w:rtl w:val="1"/>
        </w:rPr>
        <w:t xml:space="preserve">א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 4@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1@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חסדא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מצטרפין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בדוכתייהו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כשרצה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תורף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 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ללמדנו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שזימן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חביריי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שזימן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כהוגן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שנגנבה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'.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הסיבו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וחברתיה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בדוכתייהו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חביריו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רוצים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גמרו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חביריו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סעודתם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סעודתו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בזימונו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שחלקוה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שנגנבה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טומאת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הדרא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לטומאתה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כשהחזירוה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דפלגא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טומאתה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דאיפלג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ואזמין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למהדרינהו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בדוכתיה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שנפסקה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הדרא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לטומאתה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שנפרד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שמועה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שקדמני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משבחן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הוצרכנו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שזימן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חביריו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סעודתו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לסעודתו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שחידש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הסיבו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הוקבע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פירשנו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להסיבה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לקביעות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השמועה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ונזדמנו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בדוכתייהו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שנתערב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בדוכתייהו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שזימנו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נתערבו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זימון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השמועה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כהוגן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שקדמני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הקדימו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הצרפתים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הבקיאים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בחדרי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מתחלתה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יסא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דבכא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בדעתון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דתמן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בדעתון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ונתערבו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חסדא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וחבורתיה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הדא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הטביל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ונתערבו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חסדא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וחבורתיה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שהטביל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חזינן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מטיט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הנרוק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'.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ונתערבו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קלחין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אגודה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טבילה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וחבורתיה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יוסא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הוטבלו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גבעולין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זעירא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וחבורתיה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מדוקיא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אגודה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טבילה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חזינן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הנרוק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אזוב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סוגית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.6@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0"/>
        </w:rPr>
        <w:t xml:space="preserve">5@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'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דברים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0"/>
        </w:rPr>
        <w:t xml:space="preserve">2@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4d"/>
          <w:sz w:val="24"/>
          <w:szCs w:val="24"/>
          <w:u w:val="none"/>
          <w:vertAlign w:val="baseline"/>
          <w:rtl w:val="1"/>
        </w:rPr>
        <w:t xml:space="preserve">א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4@[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.] 1@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הנהנין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בהנאות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נכנסות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רחיצת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נוגע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הנכנסין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וסועד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המאורות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והחשך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מתחדשת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המאורות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שסדרו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במאורות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שיברך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ומשתמשין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):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לחנותו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):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שרואהו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לפרקים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תשמישו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משתמשין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שמשתמשין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בנר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הדלוק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נפסקה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ותשמישו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וכשחזרנו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להנא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במותאי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לחנותו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):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שמחזרין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מחזרין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המתחדש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נשתמשו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דכשמתעלם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ומתחדש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תשמישו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שהקיש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הניחו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ליצירה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בתקופתה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במסילתם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ומזלות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כסדרן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הוייתן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הכיפורים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ההויה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הכיפורים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ממלאכת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חידושו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אצלנו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תשמישו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כמאורו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הלילות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תדירותו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השגתי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בברכה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3@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שהדליק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יהודי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דהתירא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דעיקריה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האבנים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וסעד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מקומותינו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במוצאי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להדליק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מעששית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שהדליקו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ומוליך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נר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בביתם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שמדליקין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יהודי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מברכין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vertAlign w:val="baseline"/>
          <w:rtl w:val="0"/>
        </w:rPr>
        <w:t xml:space="preserve">.6@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335.99999999999994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bidi w:val="1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