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15A3" w14:textId="019CAA94" w:rsidR="008B429C" w:rsidRDefault="00E83A40">
      <w:pPr>
        <w:pStyle w:val="Heading1"/>
      </w:pPr>
      <w:r>
        <w:t xml:space="preserve">Central Bank of Peru: </w:t>
      </w:r>
      <w:r w:rsidR="00CC2BCE">
        <w:t xml:space="preserve">Training Program </w:t>
      </w:r>
      <w:r>
        <w:t>Agenda</w:t>
      </w:r>
      <w:r w:rsidR="00CC2BCE">
        <w:t>, March 3-6, 2026</w:t>
      </w:r>
    </w:p>
    <w:p w14:paraId="49BEDC97" w14:textId="19491802" w:rsidR="008B429C" w:rsidRDefault="00E83A40">
      <w:pPr>
        <w:pStyle w:val="Heading2"/>
      </w:pPr>
      <w:r>
        <w:t xml:space="preserve">Session 1: </w:t>
      </w:r>
      <w:r w:rsidR="00CC2BCE">
        <w:t>US Investment Grade (IG) Corporate Debt</w:t>
      </w:r>
      <w:r w:rsidR="00F56210">
        <w:t xml:space="preserve"> </w:t>
      </w:r>
      <w:r w:rsidR="00F56210" w:rsidRPr="00F56210">
        <w:rPr>
          <w:color w:val="00B050"/>
        </w:rPr>
        <w:t>(James So, Western Asset)</w:t>
      </w:r>
    </w:p>
    <w:p w14:paraId="3A21668C" w14:textId="77777777" w:rsidR="008B429C" w:rsidRDefault="00CC2BCE">
      <w:pPr>
        <w:pStyle w:val="Heading3"/>
      </w:pPr>
      <w:r>
        <w:t>Overview</w:t>
      </w:r>
    </w:p>
    <w:p w14:paraId="2E67CC99" w14:textId="77777777" w:rsidR="008B429C" w:rsidRDefault="00CC2BCE">
      <w:r>
        <w:t>An introduction to the structure, characteristics, and market drivers of the US IG corporate bond market, with emphasis on its role in reserve portfolios, risk-return trade-offs, and liquidity considerations.</w:t>
      </w:r>
    </w:p>
    <w:p w14:paraId="5F20C4D9" w14:textId="77777777" w:rsidR="008B429C" w:rsidRDefault="00CC2BCE">
      <w:pPr>
        <w:pStyle w:val="Heading3"/>
      </w:pPr>
      <w:r>
        <w:t>Learning Outcomes</w:t>
      </w:r>
    </w:p>
    <w:p w14:paraId="072CACAD" w14:textId="77777777" w:rsidR="008B429C" w:rsidRDefault="00CC2BCE">
      <w:r>
        <w:t>- Understand the composition and key sectors within the US IG corporate universe.</w:t>
      </w:r>
    </w:p>
    <w:p w14:paraId="57E91547" w14:textId="77777777" w:rsidR="008B429C" w:rsidRDefault="00CC2BCE">
      <w:r>
        <w:t>- Identify main drivers of spreads, credit risk, and ratings migration.</w:t>
      </w:r>
    </w:p>
    <w:p w14:paraId="23E239FC" w14:textId="77777777" w:rsidR="008B429C" w:rsidRDefault="00CC2BCE">
      <w:r>
        <w:t>- Evaluate how IG corporates can be integrated into conservative reserve management frameworks.</w:t>
      </w:r>
    </w:p>
    <w:p w14:paraId="38D72F52" w14:textId="77777777" w:rsidR="008B429C" w:rsidRDefault="00CC2BCE">
      <w:pPr>
        <w:pStyle w:val="Heading3"/>
      </w:pPr>
      <w:r>
        <w:t>Knowledge‑Check Questions</w:t>
      </w:r>
    </w:p>
    <w:p w14:paraId="323F2E2A" w14:textId="77777777" w:rsidR="008B429C" w:rsidRDefault="00CC2BCE">
      <w:r>
        <w:t>1. What are the primary factors that influence IG corporate credit spreads?</w:t>
      </w:r>
    </w:p>
    <w:p w14:paraId="3CDABEC6" w14:textId="53723459" w:rsidR="008B429C" w:rsidRDefault="00E83A40">
      <w:r>
        <w:t>2</w:t>
      </w:r>
      <w:r w:rsidR="00CC2BCE">
        <w:t xml:space="preserve">. How </w:t>
      </w:r>
      <w:proofErr w:type="gramStart"/>
      <w:r w:rsidR="00CC2BCE">
        <w:t>does</w:t>
      </w:r>
      <w:proofErr w:type="gramEnd"/>
      <w:r w:rsidR="00CC2BCE">
        <w:t xml:space="preserve"> credit ratings affect reserve portfolio risk?</w:t>
      </w:r>
    </w:p>
    <w:p w14:paraId="2ED590A4" w14:textId="342944D1" w:rsidR="008B429C" w:rsidRDefault="00E83A40">
      <w:pPr>
        <w:pStyle w:val="Heading2"/>
      </w:pPr>
      <w:r>
        <w:t xml:space="preserve">Session 2: </w:t>
      </w:r>
      <w:r w:rsidR="00CC2BCE">
        <w:t>US Agency Mortgage‑Backed Securities (Agency MBS)</w:t>
      </w:r>
      <w:r w:rsidR="00F56210">
        <w:t xml:space="preserve"> </w:t>
      </w:r>
      <w:r w:rsidR="00F56210" w:rsidRPr="00F56210">
        <w:rPr>
          <w:color w:val="00B050"/>
        </w:rPr>
        <w:t>(</w:t>
      </w:r>
      <w:r w:rsidR="00F56210">
        <w:rPr>
          <w:color w:val="00B050"/>
        </w:rPr>
        <w:t>Elliott Neumayer</w:t>
      </w:r>
      <w:r w:rsidR="00F56210" w:rsidRPr="00F56210">
        <w:rPr>
          <w:color w:val="00B050"/>
        </w:rPr>
        <w:t>, Western Asset)</w:t>
      </w:r>
    </w:p>
    <w:p w14:paraId="521AADD5" w14:textId="77777777" w:rsidR="008B429C" w:rsidRDefault="00CC2BCE">
      <w:pPr>
        <w:pStyle w:val="Heading3"/>
      </w:pPr>
      <w:r>
        <w:t>Overview</w:t>
      </w:r>
    </w:p>
    <w:p w14:paraId="648B9E71" w14:textId="77777777" w:rsidR="008B429C" w:rsidRDefault="00CC2BCE">
      <w:r>
        <w:t>A deep dive into Agency MBS markets, covering structure, prepayment risk, convexity dynamics, and their use in central bank portfolios.</w:t>
      </w:r>
    </w:p>
    <w:p w14:paraId="5B4A3BA0" w14:textId="77777777" w:rsidR="008B429C" w:rsidRDefault="00CC2BCE">
      <w:pPr>
        <w:pStyle w:val="Heading3"/>
      </w:pPr>
      <w:r>
        <w:t>Learning Outcomes</w:t>
      </w:r>
    </w:p>
    <w:p w14:paraId="49DE5C84" w14:textId="77777777" w:rsidR="008B429C" w:rsidRDefault="00CC2BCE">
      <w:r>
        <w:t>- Explain the structure and cash flow behavior of Agency MBS.</w:t>
      </w:r>
    </w:p>
    <w:p w14:paraId="7290034D" w14:textId="77777777" w:rsidR="008B429C" w:rsidRDefault="00CC2BCE">
      <w:r>
        <w:t>- Interpret prepayment models and understand negative convexity.</w:t>
      </w:r>
    </w:p>
    <w:p w14:paraId="19DB8887" w14:textId="77777777" w:rsidR="008B429C" w:rsidRDefault="00CC2BCE">
      <w:r>
        <w:t>- Assess duration and spread opportunities relative to Treasuries.</w:t>
      </w:r>
    </w:p>
    <w:p w14:paraId="161157B8" w14:textId="77777777" w:rsidR="008B429C" w:rsidRDefault="00CC2BCE">
      <w:pPr>
        <w:pStyle w:val="Heading3"/>
      </w:pPr>
      <w:r>
        <w:t>Knowledge‑Check Questions</w:t>
      </w:r>
    </w:p>
    <w:p w14:paraId="325EFBEC" w14:textId="77777777" w:rsidR="008B429C" w:rsidRDefault="00CC2BCE">
      <w:r>
        <w:t>1. Why do Agency MBS exhibit negative convexity, and how does it impact portfolio duration?</w:t>
      </w:r>
    </w:p>
    <w:p w14:paraId="00F34A8E" w14:textId="30B4F1DC" w:rsidR="008B429C" w:rsidRDefault="00E83A40">
      <w:r>
        <w:t>2</w:t>
      </w:r>
      <w:r w:rsidR="00CC2BCE">
        <w:t>. What are the main drivers of mortgage prepayments?</w:t>
      </w:r>
    </w:p>
    <w:p w14:paraId="107FD772" w14:textId="23029C3B" w:rsidR="008B429C" w:rsidRDefault="00E83A40">
      <w:pPr>
        <w:pStyle w:val="Heading2"/>
      </w:pPr>
      <w:r>
        <w:lastRenderedPageBreak/>
        <w:t xml:space="preserve">Session 3: </w:t>
      </w:r>
      <w:r w:rsidR="00CC2BCE">
        <w:t>Trends in Emerging Market (EM) Reserve Management</w:t>
      </w:r>
      <w:r w:rsidR="00F56210">
        <w:t xml:space="preserve"> </w:t>
      </w:r>
      <w:r w:rsidR="00F56210" w:rsidRPr="00F56210">
        <w:rPr>
          <w:color w:val="00B050"/>
        </w:rPr>
        <w:t>(</w:t>
      </w:r>
      <w:r w:rsidR="00F56210">
        <w:rPr>
          <w:color w:val="00B050"/>
        </w:rPr>
        <w:t>Robert Abad</w:t>
      </w:r>
      <w:r w:rsidR="00F56210" w:rsidRPr="00F56210">
        <w:rPr>
          <w:color w:val="00B050"/>
        </w:rPr>
        <w:t>, Western Asset)</w:t>
      </w:r>
    </w:p>
    <w:p w14:paraId="1378EA30" w14:textId="77777777" w:rsidR="008B429C" w:rsidRDefault="00CC2BCE">
      <w:pPr>
        <w:pStyle w:val="Heading3"/>
      </w:pPr>
      <w:r>
        <w:t>Overview</w:t>
      </w:r>
    </w:p>
    <w:p w14:paraId="20BCF424" w14:textId="77777777" w:rsidR="008B429C" w:rsidRDefault="00CC2BCE">
      <w:r>
        <w:t>An examination of evolving EM reserve management practices, including diversification trends, liquidity demands, and geopolitical considerations.</w:t>
      </w:r>
    </w:p>
    <w:p w14:paraId="0BEEC9DB" w14:textId="77777777" w:rsidR="008B429C" w:rsidRDefault="00CC2BCE">
      <w:pPr>
        <w:pStyle w:val="Heading3"/>
      </w:pPr>
      <w:r>
        <w:t>Learning Outcomes</w:t>
      </w:r>
    </w:p>
    <w:p w14:paraId="62C29E4D" w14:textId="77777777" w:rsidR="008B429C" w:rsidRDefault="00CC2BCE">
      <w:r>
        <w:t>- Understand the major shifts in asset allocation across EM central banks.</w:t>
      </w:r>
    </w:p>
    <w:p w14:paraId="5F3FD9F5" w14:textId="77777777" w:rsidR="008B429C" w:rsidRDefault="00CC2BCE">
      <w:r>
        <w:t>- Analyze challenges such as currency mismatches, depth of local markets, and global rate cycles.</w:t>
      </w:r>
    </w:p>
    <w:p w14:paraId="2F997667" w14:textId="77777777" w:rsidR="008B429C" w:rsidRDefault="00CC2BCE">
      <w:r>
        <w:t>- Gain insight into operational and governance structures in EM reserve management.</w:t>
      </w:r>
    </w:p>
    <w:p w14:paraId="2D602490" w14:textId="77777777" w:rsidR="008B429C" w:rsidRDefault="00CC2BCE">
      <w:pPr>
        <w:pStyle w:val="Heading3"/>
      </w:pPr>
      <w:r>
        <w:t>Knowledge‑Check Questions</w:t>
      </w:r>
    </w:p>
    <w:p w14:paraId="5C67654D" w14:textId="77777777" w:rsidR="008B429C" w:rsidRDefault="00CC2BCE">
      <w:r>
        <w:t>1. What are the main reasons EM central banks are diversifying beyond traditional reserve assets?</w:t>
      </w:r>
    </w:p>
    <w:p w14:paraId="05A635A2" w14:textId="56D4E76A" w:rsidR="008B429C" w:rsidRDefault="00E83A40">
      <w:r>
        <w:t>2</w:t>
      </w:r>
      <w:r w:rsidR="00CC2BCE">
        <w:t>. How do global monetary cycles impact EM reserve allocation decisions?</w:t>
      </w:r>
    </w:p>
    <w:p w14:paraId="54644897" w14:textId="3E3F4CAF" w:rsidR="008B429C" w:rsidRPr="006F5838" w:rsidRDefault="00E83A40">
      <w:pPr>
        <w:pStyle w:val="Heading2"/>
        <w:rPr>
          <w:color w:val="00B050"/>
        </w:rPr>
      </w:pPr>
      <w:r>
        <w:t xml:space="preserve">Session 4: </w:t>
      </w:r>
      <w:r w:rsidR="00CC2BCE">
        <w:t>ESG Considerations in Central Bank Portfolios</w:t>
      </w:r>
      <w:r w:rsidR="00F56210">
        <w:t xml:space="preserve"> </w:t>
      </w:r>
      <w:r w:rsidR="00F56210" w:rsidRPr="006F5838">
        <w:rPr>
          <w:color w:val="00B050"/>
        </w:rPr>
        <w:t>(</w:t>
      </w:r>
      <w:proofErr w:type="spellStart"/>
      <w:r w:rsidR="00F56210" w:rsidRPr="006F5838">
        <w:rPr>
          <w:color w:val="00B050"/>
        </w:rPr>
        <w:t>Brishni</w:t>
      </w:r>
      <w:proofErr w:type="spellEnd"/>
      <w:r w:rsidR="006F5838" w:rsidRPr="006F5838">
        <w:rPr>
          <w:color w:val="00B050"/>
        </w:rPr>
        <w:t xml:space="preserve"> Mukhopadhyay, Western Asset)</w:t>
      </w:r>
    </w:p>
    <w:p w14:paraId="2641A04C" w14:textId="77777777" w:rsidR="008B429C" w:rsidRDefault="00CC2BCE">
      <w:pPr>
        <w:pStyle w:val="Heading3"/>
      </w:pPr>
      <w:r>
        <w:t>Overview</w:t>
      </w:r>
    </w:p>
    <w:p w14:paraId="3EAF5C7A" w14:textId="77777777" w:rsidR="008B429C" w:rsidRDefault="00CC2BCE">
      <w:r>
        <w:t>A review of how environmental, social, and governance (ESG) factors are incorporated into central bank investment frameworks, including integration approaches and reporting standards.</w:t>
      </w:r>
    </w:p>
    <w:p w14:paraId="687B7821" w14:textId="77777777" w:rsidR="008B429C" w:rsidRDefault="00CC2BCE">
      <w:pPr>
        <w:pStyle w:val="Heading3"/>
      </w:pPr>
      <w:r>
        <w:t>Learning Outcomes</w:t>
      </w:r>
    </w:p>
    <w:p w14:paraId="63BC7296" w14:textId="77777777" w:rsidR="008B429C" w:rsidRDefault="00CC2BCE">
      <w:r>
        <w:t>- Explain the rationale for ESG integration in official-sector portfolios.</w:t>
      </w:r>
    </w:p>
    <w:p w14:paraId="4F84D436" w14:textId="77777777" w:rsidR="008B429C" w:rsidRDefault="00CC2BCE">
      <w:r>
        <w:t>- Compare approaches such as exclusion lists, best‑in‑class selection, and ESG-aware benchmarks.</w:t>
      </w:r>
    </w:p>
    <w:p w14:paraId="35CDEECA" w14:textId="77777777" w:rsidR="008B429C" w:rsidRDefault="00CC2BCE">
      <w:r>
        <w:t>- Understand climate‑related risk assessments and governance expectations.</w:t>
      </w:r>
    </w:p>
    <w:p w14:paraId="384E86B0" w14:textId="77777777" w:rsidR="008B429C" w:rsidRDefault="00CC2BCE">
      <w:pPr>
        <w:pStyle w:val="Heading3"/>
      </w:pPr>
      <w:r>
        <w:t>Knowledge‑Check Questions</w:t>
      </w:r>
    </w:p>
    <w:p w14:paraId="3791D678" w14:textId="77777777" w:rsidR="008B429C" w:rsidRDefault="00CC2BCE">
      <w:r>
        <w:t>1. What are two common methods central banks use to integrate ESG factors into their investment processes?</w:t>
      </w:r>
    </w:p>
    <w:p w14:paraId="70DD8CD6" w14:textId="4C2AD5DB" w:rsidR="008B429C" w:rsidRDefault="00E83A40">
      <w:r>
        <w:t>2</w:t>
      </w:r>
      <w:r w:rsidR="00CC2BCE">
        <w:t>. How can climate‑related risks manifest in fixed‑income portfolios?</w:t>
      </w:r>
    </w:p>
    <w:p w14:paraId="7E70E660" w14:textId="6A1EAE43" w:rsidR="008B429C" w:rsidRDefault="00E83A40">
      <w:pPr>
        <w:pStyle w:val="Heading2"/>
      </w:pPr>
      <w:r>
        <w:lastRenderedPageBreak/>
        <w:t xml:space="preserve">Session 5: </w:t>
      </w:r>
      <w:r w:rsidR="00CC2BCE">
        <w:t>Commodities in Reserve Portfolios</w:t>
      </w:r>
      <w:r w:rsidR="00925363">
        <w:t xml:space="preserve"> </w:t>
      </w:r>
      <w:r w:rsidR="00925363" w:rsidRPr="00CB4EFB">
        <w:rPr>
          <w:color w:val="00B050"/>
        </w:rPr>
        <w:t>(</w:t>
      </w:r>
      <w:r w:rsidR="00CF0B09">
        <w:rPr>
          <w:color w:val="00B050"/>
        </w:rPr>
        <w:t>Steve Land</w:t>
      </w:r>
      <w:r w:rsidR="00D65D79" w:rsidRPr="00CB4EFB">
        <w:rPr>
          <w:color w:val="00B050"/>
        </w:rPr>
        <w:t xml:space="preserve">, Franklin </w:t>
      </w:r>
      <w:r w:rsidR="00CF0B09">
        <w:rPr>
          <w:color w:val="00B050"/>
        </w:rPr>
        <w:t>Equity Group</w:t>
      </w:r>
      <w:r w:rsidR="00D65D79" w:rsidRPr="00CB4EFB">
        <w:rPr>
          <w:color w:val="00B050"/>
        </w:rPr>
        <w:t>)</w:t>
      </w:r>
    </w:p>
    <w:p w14:paraId="4C42DBCC" w14:textId="77777777" w:rsidR="008B429C" w:rsidRDefault="00CC2BCE">
      <w:pPr>
        <w:pStyle w:val="Heading3"/>
      </w:pPr>
      <w:r>
        <w:t>Overview</w:t>
      </w:r>
    </w:p>
    <w:p w14:paraId="3BF702BE" w14:textId="77777777" w:rsidR="008B429C" w:rsidRDefault="00CC2BCE">
      <w:r>
        <w:t>An overview of commodities—especially gold—and their historical and strategic roles in reserve portfolios, including diversification benefits and market drivers.</w:t>
      </w:r>
    </w:p>
    <w:p w14:paraId="0E310081" w14:textId="77777777" w:rsidR="008B429C" w:rsidRDefault="00CC2BCE">
      <w:pPr>
        <w:pStyle w:val="Heading3"/>
      </w:pPr>
      <w:r>
        <w:t>Learning Outcomes</w:t>
      </w:r>
    </w:p>
    <w:p w14:paraId="08ED014D" w14:textId="77777777" w:rsidR="008B429C" w:rsidRDefault="00CC2BCE">
      <w:r>
        <w:t>- Understand the role of gold as a reserve asset and its correlation properties.</w:t>
      </w:r>
    </w:p>
    <w:p w14:paraId="07578F70" w14:textId="77777777" w:rsidR="008B429C" w:rsidRDefault="00CC2BCE">
      <w:r>
        <w:t>- Identify key drivers of commodity prices, such as inflation, demand cycles, and geopolitical events.</w:t>
      </w:r>
    </w:p>
    <w:p w14:paraId="45267276" w14:textId="77777777" w:rsidR="008B429C" w:rsidRDefault="00CC2BCE">
      <w:r>
        <w:t>- Assess when and how commodities support central bank objectives.</w:t>
      </w:r>
    </w:p>
    <w:p w14:paraId="6F01EA3D" w14:textId="77777777" w:rsidR="008B429C" w:rsidRDefault="00CC2BCE">
      <w:pPr>
        <w:pStyle w:val="Heading3"/>
      </w:pPr>
      <w:r>
        <w:t>Knowledge‑Check Questions</w:t>
      </w:r>
    </w:p>
    <w:p w14:paraId="37840A0A" w14:textId="006D6902" w:rsidR="008B429C" w:rsidRDefault="00CC2BCE">
      <w:r>
        <w:t xml:space="preserve">1. </w:t>
      </w:r>
      <w:r w:rsidR="00E83A40">
        <w:t xml:space="preserve">Why </w:t>
      </w:r>
      <w:proofErr w:type="gramStart"/>
      <w:r w:rsidR="00E83A40">
        <w:t>are</w:t>
      </w:r>
      <w:proofErr w:type="gramEnd"/>
      <w:r w:rsidR="00E83A40">
        <w:t xml:space="preserve"> some </w:t>
      </w:r>
      <w:r>
        <w:t>central bank</w:t>
      </w:r>
      <w:r w:rsidR="00E83A40">
        <w:t>s including gold in their</w:t>
      </w:r>
      <w:r>
        <w:t xml:space="preserve"> reserve portfolios?</w:t>
      </w:r>
    </w:p>
    <w:p w14:paraId="5F82006A" w14:textId="60FEE79F" w:rsidR="008B429C" w:rsidRDefault="00E83A40">
      <w:r>
        <w:t>2</w:t>
      </w:r>
      <w:r w:rsidR="00CC2BCE">
        <w:t>. What macroeconomic variables most strongly influence commodity price movements?</w:t>
      </w:r>
    </w:p>
    <w:p w14:paraId="1956DA19" w14:textId="19B050AB" w:rsidR="008B429C" w:rsidRPr="00CB4EFB" w:rsidRDefault="00E83A40">
      <w:pPr>
        <w:pStyle w:val="Heading2"/>
        <w:rPr>
          <w:color w:val="00B050"/>
        </w:rPr>
      </w:pPr>
      <w:r>
        <w:t xml:space="preserve">Session 6: </w:t>
      </w:r>
      <w:r w:rsidR="00CC2BCE">
        <w:t>Monetary Policy and Its Impact on Sovereign Curves</w:t>
      </w:r>
      <w:r w:rsidR="00D65D79">
        <w:t xml:space="preserve"> </w:t>
      </w:r>
      <w:r w:rsidR="00D65D79" w:rsidRPr="00CB4EFB">
        <w:rPr>
          <w:color w:val="00B050"/>
        </w:rPr>
        <w:t>(Nick Mastro</w:t>
      </w:r>
      <w:r w:rsidR="00CB4EFB" w:rsidRPr="00CB4EFB">
        <w:rPr>
          <w:color w:val="00B050"/>
        </w:rPr>
        <w:t>ianni, Western Asset)</w:t>
      </w:r>
    </w:p>
    <w:p w14:paraId="33F9A0AA" w14:textId="77777777" w:rsidR="008B429C" w:rsidRDefault="00CC2BCE">
      <w:pPr>
        <w:pStyle w:val="Heading3"/>
      </w:pPr>
      <w:r>
        <w:t>Overview</w:t>
      </w:r>
    </w:p>
    <w:p w14:paraId="0A955A59" w14:textId="77777777" w:rsidR="008B429C" w:rsidRDefault="00CC2BCE">
      <w:r>
        <w:t>A review of how central bank monetary policy—rate decisions, forward guidance, quantitative easing, and balance sheet tools—affects sovereign yield curves.</w:t>
      </w:r>
    </w:p>
    <w:p w14:paraId="1EB7D1D7" w14:textId="77777777" w:rsidR="008B429C" w:rsidRDefault="00CC2BCE">
      <w:pPr>
        <w:pStyle w:val="Heading3"/>
      </w:pPr>
      <w:r>
        <w:t>Learning Outcomes</w:t>
      </w:r>
    </w:p>
    <w:p w14:paraId="0CF9DFDA" w14:textId="77777777" w:rsidR="008B429C" w:rsidRDefault="00CC2BCE">
      <w:r>
        <w:t>- Understand the mechanics of yield curve shifts in response to policy actions.</w:t>
      </w:r>
    </w:p>
    <w:p w14:paraId="690D7141" w14:textId="77777777" w:rsidR="008B429C" w:rsidRDefault="00CC2BCE">
      <w:r>
        <w:t>- Distinguish between expectations, term premium, and technical drivers.</w:t>
      </w:r>
    </w:p>
    <w:p w14:paraId="43BEBA42" w14:textId="77777777" w:rsidR="008B429C" w:rsidRDefault="00CC2BCE">
      <w:r>
        <w:t>- Recognize implications for duration management and reserve portfolio construction.</w:t>
      </w:r>
    </w:p>
    <w:p w14:paraId="06FC422F" w14:textId="77777777" w:rsidR="008B429C" w:rsidRDefault="00CC2BCE">
      <w:pPr>
        <w:pStyle w:val="Heading3"/>
      </w:pPr>
      <w:r>
        <w:t>Knowledge‑Check Questions</w:t>
      </w:r>
    </w:p>
    <w:p w14:paraId="1683AE23" w14:textId="77777777" w:rsidR="008B429C" w:rsidRDefault="00CC2BCE">
      <w:r>
        <w:t>1. How does forward guidance influence the shape of the yield curve?</w:t>
      </w:r>
    </w:p>
    <w:p w14:paraId="54BC3CDF" w14:textId="3AEBC7FA" w:rsidR="008B429C" w:rsidRDefault="00E83A40">
      <w:r>
        <w:t>2</w:t>
      </w:r>
      <w:r w:rsidR="00CC2BCE">
        <w:t>. What impact does quantitative tightening (QT) typically have on sovereign yields?</w:t>
      </w:r>
    </w:p>
    <w:p w14:paraId="54780DC7" w14:textId="4CA05EB0" w:rsidR="008B429C" w:rsidRPr="00CB4EFB" w:rsidRDefault="00E83A40">
      <w:pPr>
        <w:pStyle w:val="Heading2"/>
        <w:rPr>
          <w:color w:val="00B050"/>
        </w:rPr>
      </w:pPr>
      <w:r>
        <w:t xml:space="preserve">Session 7: </w:t>
      </w:r>
      <w:r w:rsidR="00CC2BCE">
        <w:t>Money Market Industry and Trends</w:t>
      </w:r>
      <w:r w:rsidR="00CB4EFB">
        <w:t xml:space="preserve"> </w:t>
      </w:r>
      <w:r w:rsidR="00CB4EFB" w:rsidRPr="00CB4EFB">
        <w:rPr>
          <w:color w:val="00B050"/>
        </w:rPr>
        <w:t>(Alfredo Rios, Franklin Templeton Institutional)</w:t>
      </w:r>
    </w:p>
    <w:p w14:paraId="1CB5722C" w14:textId="77777777" w:rsidR="008B429C" w:rsidRDefault="00CC2BCE">
      <w:pPr>
        <w:pStyle w:val="Heading3"/>
      </w:pPr>
      <w:r>
        <w:t>Overview</w:t>
      </w:r>
    </w:p>
    <w:p w14:paraId="77E9C485" w14:textId="77777777" w:rsidR="008B429C" w:rsidRDefault="00CC2BCE">
      <w:r>
        <w:t>A structured introduction to global money markets, including key instruments, counterparties, regulatory developments, and trends such as repo market evolution.</w:t>
      </w:r>
    </w:p>
    <w:p w14:paraId="5E25078B" w14:textId="77777777" w:rsidR="008B429C" w:rsidRDefault="00CC2BCE">
      <w:pPr>
        <w:pStyle w:val="Heading3"/>
      </w:pPr>
      <w:r>
        <w:lastRenderedPageBreak/>
        <w:t>Learning Outcomes</w:t>
      </w:r>
    </w:p>
    <w:p w14:paraId="4D9F489F" w14:textId="77777777" w:rsidR="008B429C" w:rsidRDefault="00CC2BCE">
      <w:r>
        <w:t>- Identify the main money market instruments and their risk characteristics.</w:t>
      </w:r>
    </w:p>
    <w:p w14:paraId="72B1CF87" w14:textId="77777777" w:rsidR="008B429C" w:rsidRDefault="00CC2BCE">
      <w:r>
        <w:t>- Understand the impact of regulatory reforms on liquidity markets.</w:t>
      </w:r>
    </w:p>
    <w:p w14:paraId="2A737118" w14:textId="77777777" w:rsidR="008B429C" w:rsidRDefault="00CC2BCE">
      <w:r>
        <w:t>- Recognize how central banks use money markets for short‑term liquidity and execution.</w:t>
      </w:r>
    </w:p>
    <w:p w14:paraId="29C673B9" w14:textId="77777777" w:rsidR="008B429C" w:rsidRDefault="00CC2BCE">
      <w:pPr>
        <w:pStyle w:val="Heading3"/>
      </w:pPr>
      <w:r>
        <w:t>Knowledge‑Check Questions</w:t>
      </w:r>
    </w:p>
    <w:p w14:paraId="3D52370E" w14:textId="2552FF3B" w:rsidR="008B429C" w:rsidRDefault="00CC2BCE">
      <w:r>
        <w:t xml:space="preserve">1. What is the primary difference between </w:t>
      </w:r>
      <w:r w:rsidR="00E83A40">
        <w:t xml:space="preserve">prime and government </w:t>
      </w:r>
      <w:r>
        <w:t>money market instruments?</w:t>
      </w:r>
    </w:p>
    <w:p w14:paraId="1616EC6E" w14:textId="7B5463DC" w:rsidR="008B429C" w:rsidRDefault="00E83A40">
      <w:r>
        <w:t>2</w:t>
      </w:r>
      <w:r w:rsidR="00CC2BCE">
        <w:t>. How have post‑crisis regulatory reforms affected money market liquidity?</w:t>
      </w:r>
    </w:p>
    <w:p w14:paraId="0878F15C" w14:textId="209998D7" w:rsidR="008B429C" w:rsidRDefault="00E83A40">
      <w:pPr>
        <w:pStyle w:val="Heading2"/>
      </w:pPr>
      <w:r>
        <w:t xml:space="preserve">Session 8: </w:t>
      </w:r>
      <w:r w:rsidR="00CC2BCE">
        <w:t>Soft Skills for Reserve Management Teams</w:t>
      </w:r>
      <w:r w:rsidR="00CB4EFB" w:rsidRPr="00CB4EFB">
        <w:rPr>
          <w:color w:val="00B050"/>
        </w:rPr>
        <w:t xml:space="preserve"> (</w:t>
      </w:r>
      <w:r w:rsidR="00E31035">
        <w:rPr>
          <w:color w:val="00B050"/>
        </w:rPr>
        <w:t>Alejandro Vargas, F</w:t>
      </w:r>
      <w:r w:rsidR="00A714F2">
        <w:rPr>
          <w:color w:val="00B050"/>
        </w:rPr>
        <w:t>ranklin Templeton Academy)</w:t>
      </w:r>
    </w:p>
    <w:p w14:paraId="22D00F25" w14:textId="77777777" w:rsidR="008B429C" w:rsidRDefault="00CC2BCE">
      <w:pPr>
        <w:pStyle w:val="Heading3"/>
      </w:pPr>
      <w:r>
        <w:t>Overview</w:t>
      </w:r>
    </w:p>
    <w:p w14:paraId="22E1C52D" w14:textId="77777777" w:rsidR="008B429C" w:rsidRDefault="00CC2BCE">
      <w:r>
        <w:t>Focused training on communication, collaboration, decision‑making, and executive reporting tailored to investment teams within central banks.</w:t>
      </w:r>
    </w:p>
    <w:p w14:paraId="4A5614CE" w14:textId="77777777" w:rsidR="008B429C" w:rsidRDefault="00CC2BCE">
      <w:pPr>
        <w:pStyle w:val="Heading3"/>
      </w:pPr>
      <w:r>
        <w:t>Learning Outcomes</w:t>
      </w:r>
    </w:p>
    <w:p w14:paraId="63690B49" w14:textId="77777777" w:rsidR="008B429C" w:rsidRDefault="00CC2BCE">
      <w:r>
        <w:t>- Develop effective communication styles for investment committees and policy stakeholders.</w:t>
      </w:r>
    </w:p>
    <w:p w14:paraId="4FE2D14D" w14:textId="77777777" w:rsidR="008B429C" w:rsidRDefault="00CC2BCE">
      <w:r>
        <w:t>- Strengthen analytical storytelling through presentations and written deliverables.</w:t>
      </w:r>
    </w:p>
    <w:p w14:paraId="4B845263" w14:textId="77777777" w:rsidR="008B429C" w:rsidRDefault="00CC2BCE">
      <w:r>
        <w:t>- Improve team collaboration under time‑sensitive market scenarios.</w:t>
      </w:r>
    </w:p>
    <w:p w14:paraId="2E596A85" w14:textId="77777777" w:rsidR="008B429C" w:rsidRDefault="00CC2BCE">
      <w:pPr>
        <w:pStyle w:val="Heading3"/>
      </w:pPr>
      <w:r>
        <w:t>Knowledge‑Check Questions</w:t>
      </w:r>
    </w:p>
    <w:p w14:paraId="37583FE4" w14:textId="77777777" w:rsidR="008B429C" w:rsidRDefault="00CC2BCE">
      <w:r>
        <w:t>1. Why is effective communication especially important in reserve management?</w:t>
      </w:r>
    </w:p>
    <w:p w14:paraId="4F97E3EC" w14:textId="256F6E8E" w:rsidR="008B429C" w:rsidRDefault="00E83A40">
      <w:r>
        <w:t>2</w:t>
      </w:r>
      <w:r w:rsidR="00CC2BCE">
        <w:t>. What are two techniques for presenting complex investment topics clearly to non‑investment audiences?</w:t>
      </w:r>
    </w:p>
    <w:sectPr w:rsidR="008B42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034782">
    <w:abstractNumId w:val="8"/>
  </w:num>
  <w:num w:numId="2" w16cid:durableId="1203906840">
    <w:abstractNumId w:val="6"/>
  </w:num>
  <w:num w:numId="3" w16cid:durableId="29307251">
    <w:abstractNumId w:val="5"/>
  </w:num>
  <w:num w:numId="4" w16cid:durableId="975843041">
    <w:abstractNumId w:val="4"/>
  </w:num>
  <w:num w:numId="5" w16cid:durableId="124740041">
    <w:abstractNumId w:val="7"/>
  </w:num>
  <w:num w:numId="6" w16cid:durableId="1616207639">
    <w:abstractNumId w:val="3"/>
  </w:num>
  <w:num w:numId="7" w16cid:durableId="1309550648">
    <w:abstractNumId w:val="2"/>
  </w:num>
  <w:num w:numId="8" w16cid:durableId="1103453298">
    <w:abstractNumId w:val="1"/>
  </w:num>
  <w:num w:numId="9" w16cid:durableId="74187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2FF"/>
    <w:rsid w:val="0029639D"/>
    <w:rsid w:val="002B54C0"/>
    <w:rsid w:val="002E62AA"/>
    <w:rsid w:val="00326F90"/>
    <w:rsid w:val="003E3437"/>
    <w:rsid w:val="004B39D0"/>
    <w:rsid w:val="005F26ED"/>
    <w:rsid w:val="006F5838"/>
    <w:rsid w:val="00750559"/>
    <w:rsid w:val="008B429C"/>
    <w:rsid w:val="0092439A"/>
    <w:rsid w:val="00925363"/>
    <w:rsid w:val="00992A73"/>
    <w:rsid w:val="00A43317"/>
    <w:rsid w:val="00A714F2"/>
    <w:rsid w:val="00A95062"/>
    <w:rsid w:val="00AA1D8D"/>
    <w:rsid w:val="00B47730"/>
    <w:rsid w:val="00CA0CB8"/>
    <w:rsid w:val="00CB0664"/>
    <w:rsid w:val="00CB4EFB"/>
    <w:rsid w:val="00CC2BCE"/>
    <w:rsid w:val="00CF0B09"/>
    <w:rsid w:val="00D65D79"/>
    <w:rsid w:val="00E31035"/>
    <w:rsid w:val="00E83A40"/>
    <w:rsid w:val="00F56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42DDB"/>
  <w14:defaultImageDpi w14:val="300"/>
  <w15:docId w15:val="{6D385EED-0629-4EE8-9363-1FE27799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3739</TotalTime>
  <Pages>4</Pages>
  <Words>773</Words>
  <Characters>4942</Characters>
  <Application>Microsoft Office Word</Application>
  <DocSecurity>0</DocSecurity>
  <Lines>108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Mui, Kit</cp:lastModifiedBy>
  <cp:revision>14</cp:revision>
  <dcterms:created xsi:type="dcterms:W3CDTF">2026-02-05T22:26:00Z</dcterms:created>
  <dcterms:modified xsi:type="dcterms:W3CDTF">2026-02-09T21:43:00Z</dcterms:modified>
  <cp:category/>
</cp:coreProperties>
</file>