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AB79B" w14:textId="77777777" w:rsidR="008A10E3" w:rsidRPr="008A10E3" w:rsidRDefault="008A10E3" w:rsidP="008A10E3">
      <w:pPr>
        <w:rPr>
          <w:b/>
          <w:bCs/>
        </w:rPr>
      </w:pPr>
      <w:r w:rsidRPr="008A10E3">
        <w:rPr>
          <w:b/>
          <w:bCs/>
        </w:rPr>
        <w:t xml:space="preserve">5.1. Data </w:t>
      </w:r>
      <w:proofErr w:type="spellStart"/>
      <w:r w:rsidRPr="008A10E3">
        <w:rPr>
          <w:b/>
          <w:bCs/>
        </w:rPr>
        <w:t>Preprocessing</w:t>
      </w:r>
      <w:proofErr w:type="spellEnd"/>
      <w:r w:rsidRPr="008A10E3">
        <w:rPr>
          <w:b/>
          <w:bCs/>
        </w:rPr>
        <w:t xml:space="preserve"> </w:t>
      </w:r>
      <w:proofErr w:type="spellStart"/>
      <w:r w:rsidRPr="008A10E3">
        <w:rPr>
          <w:b/>
          <w:bCs/>
        </w:rPr>
        <w:t>and</w:t>
      </w:r>
      <w:proofErr w:type="spellEnd"/>
      <w:r w:rsidRPr="008A10E3">
        <w:rPr>
          <w:b/>
          <w:bCs/>
        </w:rPr>
        <w:t xml:space="preserve"> </w:t>
      </w:r>
      <w:proofErr w:type="spellStart"/>
      <w:r w:rsidRPr="008A10E3">
        <w:rPr>
          <w:b/>
          <w:bCs/>
        </w:rPr>
        <w:t>Sanitization</w:t>
      </w:r>
      <w:proofErr w:type="spellEnd"/>
    </w:p>
    <w:p w14:paraId="6F929943" w14:textId="77777777" w:rsidR="008A10E3" w:rsidRPr="008A10E3" w:rsidRDefault="008A10E3" w:rsidP="008A10E3">
      <w:r w:rsidRPr="008A10E3">
        <w:t>Makine öğrenmesi modellerinin başarısı için veri seti üzerinde kapsamlı bir ön işleme süreci yürütülmüştür:</w:t>
      </w:r>
    </w:p>
    <w:p w14:paraId="660E8504" w14:textId="77777777" w:rsidR="008A10E3" w:rsidRPr="008A10E3" w:rsidRDefault="008A10E3" w:rsidP="008A10E3">
      <w:pPr>
        <w:numPr>
          <w:ilvl w:val="0"/>
          <w:numId w:val="1"/>
        </w:numPr>
      </w:pPr>
      <w:r w:rsidRPr="008A10E3">
        <w:rPr>
          <w:b/>
          <w:bCs/>
        </w:rPr>
        <w:t>Veri Birleştirme:</w:t>
      </w:r>
      <w:r w:rsidRPr="008A10E3">
        <w:t xml:space="preserve"> Farklı bölgelere (EU, UK, DE vb.) ait olan ve 39 farklı yenilenebilir enerji kapasite sütununu içeren çoklu CSV dosyaları, zaman damgası (</w:t>
      </w:r>
      <w:proofErr w:type="spellStart"/>
      <w:r w:rsidRPr="008A10E3">
        <w:t>day</w:t>
      </w:r>
      <w:proofErr w:type="spellEnd"/>
      <w:r w:rsidRPr="008A10E3">
        <w:t>) baz alınarak tek bir veri çerçevesinde (</w:t>
      </w:r>
      <w:proofErr w:type="spellStart"/>
      <w:r w:rsidRPr="008A10E3">
        <w:t>DataFrame</w:t>
      </w:r>
      <w:proofErr w:type="spellEnd"/>
      <w:r w:rsidRPr="008A10E3">
        <w:t xml:space="preserve">) birleştirilmiştir. </w:t>
      </w:r>
    </w:p>
    <w:p w14:paraId="5611D706" w14:textId="77777777" w:rsidR="008A10E3" w:rsidRPr="008A10E3" w:rsidRDefault="008A10E3" w:rsidP="008A10E3">
      <w:pPr>
        <w:numPr>
          <w:ilvl w:val="0"/>
          <w:numId w:val="1"/>
        </w:numPr>
      </w:pPr>
      <w:r w:rsidRPr="008A10E3">
        <w:rPr>
          <w:b/>
          <w:bCs/>
        </w:rPr>
        <w:t>Eksik Veri Yönetimi:</w:t>
      </w:r>
      <w:r w:rsidRPr="008A10E3">
        <w:t xml:space="preserve"> Veri setindeki eksik değerler (</w:t>
      </w:r>
      <w:proofErr w:type="spellStart"/>
      <w:r w:rsidRPr="008A10E3">
        <w:t>NaN</w:t>
      </w:r>
      <w:proofErr w:type="spellEnd"/>
      <w:r w:rsidRPr="008A10E3">
        <w:t>), zaman serisi dinamiğine uygun olarak doğrusal interpolasyon (</w:t>
      </w:r>
      <w:proofErr w:type="spellStart"/>
      <w:r w:rsidRPr="008A10E3">
        <w:t>linear</w:t>
      </w:r>
      <w:proofErr w:type="spellEnd"/>
      <w:r w:rsidRPr="008A10E3">
        <w:t xml:space="preserve"> </w:t>
      </w:r>
      <w:proofErr w:type="spellStart"/>
      <w:r w:rsidRPr="008A10E3">
        <w:t>interpolation</w:t>
      </w:r>
      <w:proofErr w:type="spellEnd"/>
      <w:r w:rsidRPr="008A10E3">
        <w:t xml:space="preserve">) yöntemiyle doldurulmuş, kalan boşluklar sıfırlanmıştır. </w:t>
      </w:r>
    </w:p>
    <w:p w14:paraId="0572E297" w14:textId="77777777" w:rsidR="008A10E3" w:rsidRPr="008A10E3" w:rsidRDefault="008A10E3" w:rsidP="008A10E3">
      <w:pPr>
        <w:numPr>
          <w:ilvl w:val="0"/>
          <w:numId w:val="1"/>
        </w:numPr>
      </w:pPr>
      <w:r w:rsidRPr="008A10E3">
        <w:rPr>
          <w:b/>
          <w:bCs/>
        </w:rPr>
        <w:t>Standardizasyon:</w:t>
      </w:r>
      <w:r w:rsidRPr="008A10E3">
        <w:t xml:space="preserve"> PCA ve t-SNE mesafe tabanlı algoritmalar olduğu için tüm özellikler (</w:t>
      </w:r>
      <w:proofErr w:type="spellStart"/>
      <w:r w:rsidRPr="008A10E3">
        <w:t>features</w:t>
      </w:r>
      <w:proofErr w:type="spellEnd"/>
      <w:r w:rsidRPr="008A10E3">
        <w:t xml:space="preserve">), ortalaması 0 ve varyansı 1 olacak şekilde </w:t>
      </w:r>
      <w:proofErr w:type="spellStart"/>
      <w:r w:rsidRPr="008A10E3">
        <w:t>StandardScaler</w:t>
      </w:r>
      <w:proofErr w:type="spellEnd"/>
      <w:r w:rsidRPr="008A10E3">
        <w:t xml:space="preserve"> ile ölçeklendirilmiştir. </w:t>
      </w:r>
    </w:p>
    <w:p w14:paraId="211757F9" w14:textId="0F84022F" w:rsidR="00685357" w:rsidRDefault="008A10E3">
      <w:r>
        <w:rPr>
          <w:b/>
          <w:bCs/>
          <w:noProof/>
        </w:rPr>
        <w:drawing>
          <wp:inline distT="0" distB="0" distL="0" distR="0" wp14:anchorId="7CEE51A3" wp14:editId="3DB618AF">
            <wp:extent cx="5753100" cy="4257675"/>
            <wp:effectExtent l="0" t="0" r="0" b="9525"/>
            <wp:docPr id="7087665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3100" cy="4257675"/>
                    </a:xfrm>
                    <a:prstGeom prst="rect">
                      <a:avLst/>
                    </a:prstGeom>
                    <a:noFill/>
                    <a:ln>
                      <a:noFill/>
                    </a:ln>
                  </pic:spPr>
                </pic:pic>
              </a:graphicData>
            </a:graphic>
          </wp:inline>
        </w:drawing>
      </w:r>
      <w:r>
        <w:t xml:space="preserve"> </w:t>
      </w:r>
    </w:p>
    <w:p w14:paraId="1F22C3DA" w14:textId="77777777" w:rsidR="008A10E3" w:rsidRPr="008A10E3" w:rsidRDefault="008A10E3" w:rsidP="008A10E3">
      <w:r w:rsidRPr="008A10E3">
        <w:t xml:space="preserve">Proje kapsamında incelenen 39 farklı yenilenebilir enerji kapasite değişkeni (Solar, </w:t>
      </w:r>
      <w:proofErr w:type="spellStart"/>
      <w:r w:rsidRPr="008A10E3">
        <w:t>Wind</w:t>
      </w:r>
      <w:proofErr w:type="spellEnd"/>
      <w:r w:rsidRPr="008A10E3">
        <w:t xml:space="preserve">, </w:t>
      </w:r>
      <w:proofErr w:type="spellStart"/>
      <w:r w:rsidRPr="008A10E3">
        <w:t>Bioenergy</w:t>
      </w:r>
      <w:proofErr w:type="spellEnd"/>
      <w:r w:rsidRPr="008A10E3">
        <w:t xml:space="preserve"> vb.), verideki gizli yapıları ve bölgesel benzerlikleri ortaya çıkarmak amacıyla </w:t>
      </w:r>
      <w:r w:rsidRPr="008A10E3">
        <w:rPr>
          <w:b/>
          <w:bCs/>
        </w:rPr>
        <w:t>Temel Bileşenler Analizi (PCA)</w:t>
      </w:r>
      <w:r w:rsidRPr="008A10E3">
        <w:t xml:space="preserve"> ve </w:t>
      </w:r>
      <w:r w:rsidRPr="008A10E3">
        <w:rPr>
          <w:b/>
          <w:bCs/>
        </w:rPr>
        <w:t>K-</w:t>
      </w:r>
      <w:proofErr w:type="spellStart"/>
      <w:r w:rsidRPr="008A10E3">
        <w:rPr>
          <w:b/>
          <w:bCs/>
        </w:rPr>
        <w:t>Means</w:t>
      </w:r>
      <w:proofErr w:type="spellEnd"/>
      <w:r w:rsidRPr="008A10E3">
        <w:t xml:space="preserve"> algoritması ile analiz edilmiştir. </w:t>
      </w:r>
    </w:p>
    <w:p w14:paraId="13C04688" w14:textId="77777777" w:rsidR="008A10E3" w:rsidRPr="008A10E3" w:rsidRDefault="008A10E3" w:rsidP="008A10E3">
      <w:r w:rsidRPr="008A10E3">
        <w:pict w14:anchorId="35B4D63C">
          <v:rect id="_x0000_i1044" style="width:0;height:1.5pt" o:hralign="center" o:hrstd="t" o:hr="t" fillcolor="#a0a0a0" stroked="f"/>
        </w:pict>
      </w:r>
    </w:p>
    <w:p w14:paraId="525E9C0F" w14:textId="77777777" w:rsidR="008A10E3" w:rsidRPr="008A10E3" w:rsidRDefault="008A10E3" w:rsidP="008A10E3">
      <w:pPr>
        <w:rPr>
          <w:b/>
          <w:bCs/>
        </w:rPr>
      </w:pPr>
      <w:r w:rsidRPr="008A10E3">
        <w:rPr>
          <w:b/>
          <w:bCs/>
        </w:rPr>
        <w:t>1. PCA (Temel Bileşenler Analizi) Yorumu</w:t>
      </w:r>
    </w:p>
    <w:p w14:paraId="1295BE53" w14:textId="77777777" w:rsidR="008A10E3" w:rsidRPr="008A10E3" w:rsidRDefault="008A10E3" w:rsidP="008A10E3">
      <w:pPr>
        <w:numPr>
          <w:ilvl w:val="0"/>
          <w:numId w:val="3"/>
        </w:numPr>
      </w:pPr>
      <w:r w:rsidRPr="008A10E3">
        <w:rPr>
          <w:b/>
          <w:bCs/>
        </w:rPr>
        <w:lastRenderedPageBreak/>
        <w:t>Boyut İndirgeme Verimliliği:</w:t>
      </w:r>
      <w:r w:rsidRPr="008A10E3">
        <w:t xml:space="preserve"> Grafikteki PC1 (Ana Bileşen 1) ve PC2 (Ana Bileşen 2) eksenleri, 39 boyutlu karmaşık verinin varyansını büyük oranda koruyarak iki boyuta indirgenmiş halidir. </w:t>
      </w:r>
    </w:p>
    <w:p w14:paraId="15B32596" w14:textId="77777777" w:rsidR="008A10E3" w:rsidRPr="008A10E3" w:rsidRDefault="008A10E3" w:rsidP="008A10E3">
      <w:pPr>
        <w:numPr>
          <w:ilvl w:val="0"/>
          <w:numId w:val="3"/>
        </w:numPr>
      </w:pPr>
      <w:r w:rsidRPr="008A10E3">
        <w:rPr>
          <w:b/>
          <w:bCs/>
        </w:rPr>
        <w:t>Büyüme Yörüngesi (</w:t>
      </w:r>
      <w:proofErr w:type="spellStart"/>
      <w:r w:rsidRPr="008A10E3">
        <w:rPr>
          <w:b/>
          <w:bCs/>
        </w:rPr>
        <w:t>Growth</w:t>
      </w:r>
      <w:proofErr w:type="spellEnd"/>
      <w:r w:rsidRPr="008A10E3">
        <w:rPr>
          <w:b/>
          <w:bCs/>
        </w:rPr>
        <w:t xml:space="preserve"> </w:t>
      </w:r>
      <w:proofErr w:type="spellStart"/>
      <w:r w:rsidRPr="008A10E3">
        <w:rPr>
          <w:b/>
          <w:bCs/>
        </w:rPr>
        <w:t>Trajectory</w:t>
      </w:r>
      <w:proofErr w:type="spellEnd"/>
      <w:r w:rsidRPr="008A10E3">
        <w:rPr>
          <w:b/>
          <w:bCs/>
        </w:rPr>
        <w:t>):</w:t>
      </w:r>
      <w:r w:rsidRPr="008A10E3">
        <w:t xml:space="preserve"> Veri noktalarının oluşturduğu belirgin "yay" (</w:t>
      </w:r>
      <w:proofErr w:type="spellStart"/>
      <w:r w:rsidRPr="008A10E3">
        <w:t>curve</w:t>
      </w:r>
      <w:proofErr w:type="spellEnd"/>
      <w:r w:rsidRPr="008A10E3">
        <w:t xml:space="preserve">) yapısı, raporda bahsedilen yenilenebilir enerji altyapısının zaman içindeki doğrusal olmayan büyüme trendini temsil eder. PC1 ekseni boyunca sağa doğru ilerleyen noktalar, toplam kurulu güç kapasitesindeki (MW) artışı ve altyapı genişlemesini simgeler. </w:t>
      </w:r>
    </w:p>
    <w:p w14:paraId="14B59E26" w14:textId="77777777" w:rsidR="008A10E3" w:rsidRPr="008A10E3" w:rsidRDefault="008A10E3" w:rsidP="008A10E3">
      <w:pPr>
        <w:numPr>
          <w:ilvl w:val="0"/>
          <w:numId w:val="3"/>
        </w:numPr>
      </w:pPr>
      <w:r w:rsidRPr="008A10E3">
        <w:rPr>
          <w:b/>
          <w:bCs/>
        </w:rPr>
        <w:t>Enerji Karması Çeşitliliği:</w:t>
      </w:r>
      <w:r w:rsidRPr="008A10E3">
        <w:t xml:space="preserve"> Dikey eksen (PC2), farklı teknoloji tiplerinin (Güneş vs. </w:t>
      </w:r>
      <w:proofErr w:type="gramStart"/>
      <w:r w:rsidRPr="008A10E3">
        <w:t>Rüzgar</w:t>
      </w:r>
      <w:proofErr w:type="gramEnd"/>
      <w:r w:rsidRPr="008A10E3">
        <w:t xml:space="preserve">) zaman içindeki ağırlık değişimlerini ve ülkelerin enerji sepetlerindeki farklılaşmaları yansıtmaktadır. </w:t>
      </w:r>
    </w:p>
    <w:p w14:paraId="1680C331" w14:textId="77777777" w:rsidR="008A10E3" w:rsidRPr="008A10E3" w:rsidRDefault="008A10E3" w:rsidP="008A10E3">
      <w:r w:rsidRPr="008A10E3">
        <w:pict w14:anchorId="758B9243">
          <v:rect id="_x0000_i1045" style="width:0;height:1.5pt" o:hralign="center" o:hrstd="t" o:hr="t" fillcolor="#a0a0a0" stroked="f"/>
        </w:pict>
      </w:r>
    </w:p>
    <w:p w14:paraId="64CCE8CB" w14:textId="77777777" w:rsidR="008A10E3" w:rsidRPr="008A10E3" w:rsidRDefault="008A10E3" w:rsidP="008A10E3">
      <w:pPr>
        <w:rPr>
          <w:b/>
          <w:bCs/>
        </w:rPr>
      </w:pPr>
      <w:r w:rsidRPr="008A10E3">
        <w:rPr>
          <w:b/>
          <w:bCs/>
        </w:rPr>
        <w:t>2. K-</w:t>
      </w:r>
      <w:proofErr w:type="spellStart"/>
      <w:r w:rsidRPr="008A10E3">
        <w:rPr>
          <w:b/>
          <w:bCs/>
        </w:rPr>
        <w:t>Means</w:t>
      </w:r>
      <w:proofErr w:type="spellEnd"/>
      <w:r w:rsidRPr="008A10E3">
        <w:rPr>
          <w:b/>
          <w:bCs/>
        </w:rPr>
        <w:t xml:space="preserve"> Kümeleme ve Renk Analizi</w:t>
      </w:r>
    </w:p>
    <w:p w14:paraId="240BA437" w14:textId="77777777" w:rsidR="008A10E3" w:rsidRPr="008A10E3" w:rsidRDefault="008A10E3" w:rsidP="008A10E3">
      <w:r w:rsidRPr="008A10E3">
        <w:t>Algoritma, veriyi 4 ana enerji profiline (Cluster) ayırmıştır. Bu kümeler, altyapı olgunluğu ve teknolojik yatırımlara göre şu şekilde karakterize edilebilir:</w:t>
      </w:r>
    </w:p>
    <w:p w14:paraId="6DA79E1B" w14:textId="77777777" w:rsidR="008A10E3" w:rsidRPr="008A10E3" w:rsidRDefault="008A10E3" w:rsidP="008A10E3">
      <w:pPr>
        <w:numPr>
          <w:ilvl w:val="0"/>
          <w:numId w:val="4"/>
        </w:numPr>
      </w:pPr>
      <w:r w:rsidRPr="008A10E3">
        <w:rPr>
          <w:b/>
          <w:bCs/>
        </w:rPr>
        <w:t>Küme 0 (</w:t>
      </w:r>
      <w:proofErr w:type="gramStart"/>
      <w:r w:rsidRPr="008A10E3">
        <w:rPr>
          <w:b/>
          <w:bCs/>
        </w:rPr>
        <w:t>Mor -</w:t>
      </w:r>
      <w:proofErr w:type="gramEnd"/>
      <w:r w:rsidRPr="008A10E3">
        <w:rPr>
          <w:b/>
          <w:bCs/>
        </w:rPr>
        <w:t xml:space="preserve"> Başlangıç Rejimi):</w:t>
      </w:r>
      <w:r w:rsidRPr="008A10E3">
        <w:t xml:space="preserve"> Enerji dönüşümünün erken safhalarını veya düşük kurulu güç kapasitesine sahip bölgeleri temsil eder. PC1'in en düşük değerlerinde konumlanmışlardır. </w:t>
      </w:r>
    </w:p>
    <w:p w14:paraId="526960A0" w14:textId="77777777" w:rsidR="008A10E3" w:rsidRPr="008A10E3" w:rsidRDefault="008A10E3" w:rsidP="008A10E3">
      <w:pPr>
        <w:numPr>
          <w:ilvl w:val="0"/>
          <w:numId w:val="4"/>
        </w:numPr>
      </w:pPr>
      <w:r w:rsidRPr="008A10E3">
        <w:rPr>
          <w:b/>
          <w:bCs/>
        </w:rPr>
        <w:t>Küme 2 (</w:t>
      </w:r>
      <w:proofErr w:type="gramStart"/>
      <w:r w:rsidRPr="008A10E3">
        <w:rPr>
          <w:b/>
          <w:bCs/>
        </w:rPr>
        <w:t>Yeşil -</w:t>
      </w:r>
      <w:proofErr w:type="gramEnd"/>
      <w:r w:rsidRPr="008A10E3">
        <w:rPr>
          <w:b/>
          <w:bCs/>
        </w:rPr>
        <w:t xml:space="preserve"> Hızlı Genişleme):</w:t>
      </w:r>
      <w:r w:rsidRPr="008A10E3">
        <w:t xml:space="preserve"> Raporda belirtilen "altyapının hızla yayıldığı dönemleri" simgeler. Orta ölçekli kapasiteye sahip olan bu grup, birçok ülkenin benzer geçiş süreçlerinden geçtiğini kanıtlar. </w:t>
      </w:r>
    </w:p>
    <w:p w14:paraId="2FACCCD7" w14:textId="77777777" w:rsidR="008A10E3" w:rsidRPr="008A10E3" w:rsidRDefault="008A10E3" w:rsidP="008A10E3">
      <w:pPr>
        <w:numPr>
          <w:ilvl w:val="0"/>
          <w:numId w:val="4"/>
        </w:numPr>
      </w:pPr>
      <w:r w:rsidRPr="008A10E3">
        <w:rPr>
          <w:b/>
          <w:bCs/>
        </w:rPr>
        <w:t>Küme 3 (</w:t>
      </w:r>
      <w:proofErr w:type="gramStart"/>
      <w:r w:rsidRPr="008A10E3">
        <w:rPr>
          <w:b/>
          <w:bCs/>
        </w:rPr>
        <w:t>Sarı -</w:t>
      </w:r>
      <w:proofErr w:type="gramEnd"/>
      <w:r w:rsidRPr="008A10E3">
        <w:rPr>
          <w:b/>
          <w:bCs/>
        </w:rPr>
        <w:t xml:space="preserve"> Hibrit ve Spesifik Yatırımlar):</w:t>
      </w:r>
      <w:r w:rsidRPr="008A10E3">
        <w:t xml:space="preserve"> Yay hattının tepe noktasında yer alan bu grup, enerji sepetinde belirli bir teknolojiye (örneğin </w:t>
      </w:r>
      <w:proofErr w:type="gramStart"/>
      <w:r w:rsidRPr="008A10E3">
        <w:t>rüzgar</w:t>
      </w:r>
      <w:proofErr w:type="gramEnd"/>
      <w:r w:rsidRPr="008A10E3">
        <w:t xml:space="preserve"> enerjisine) yoğunlaşmış veya coğrafi olarak ayrışmış hibrit portföyleri temsil eder. </w:t>
      </w:r>
    </w:p>
    <w:p w14:paraId="133B3178" w14:textId="77777777" w:rsidR="008A10E3" w:rsidRPr="008A10E3" w:rsidRDefault="008A10E3" w:rsidP="008A10E3">
      <w:pPr>
        <w:numPr>
          <w:ilvl w:val="0"/>
          <w:numId w:val="4"/>
        </w:numPr>
      </w:pPr>
      <w:r w:rsidRPr="008A10E3">
        <w:rPr>
          <w:b/>
          <w:bCs/>
        </w:rPr>
        <w:t>Küme 1 (</w:t>
      </w:r>
      <w:proofErr w:type="gramStart"/>
      <w:r w:rsidRPr="008A10E3">
        <w:rPr>
          <w:b/>
          <w:bCs/>
        </w:rPr>
        <w:t>Mavi -</w:t>
      </w:r>
      <w:proofErr w:type="gramEnd"/>
      <w:r w:rsidRPr="008A10E3">
        <w:rPr>
          <w:b/>
          <w:bCs/>
        </w:rPr>
        <w:t xml:space="preserve"> Maksimum Kapasite):</w:t>
      </w:r>
      <w:r w:rsidRPr="008A10E3">
        <w:t xml:space="preserve"> Grafiğin en sağında yer alan bu noktalar, en yüksek kurulu güce (MW) ulaşmış modern altyapıları ve "enerji devlerini" simgeler. </w:t>
      </w:r>
    </w:p>
    <w:p w14:paraId="60E58882" w14:textId="77777777" w:rsidR="008A10E3" w:rsidRPr="008A10E3" w:rsidRDefault="008A10E3" w:rsidP="008A10E3">
      <w:r w:rsidRPr="008A10E3">
        <w:pict w14:anchorId="067705B6">
          <v:rect id="_x0000_i1046" style="width:0;height:1.5pt" o:hralign="center" o:hrstd="t" o:hr="t" fillcolor="#a0a0a0" stroked="f"/>
        </w:pict>
      </w:r>
    </w:p>
    <w:p w14:paraId="0436AD27" w14:textId="6BD7B37C" w:rsidR="008A10E3" w:rsidRDefault="008A10E3">
      <w:r>
        <w:rPr>
          <w:noProof/>
        </w:rPr>
        <w:lastRenderedPageBreak/>
        <w:drawing>
          <wp:inline distT="0" distB="0" distL="0" distR="0" wp14:anchorId="5BC420EF" wp14:editId="46B0130D">
            <wp:extent cx="5753735" cy="4166870"/>
            <wp:effectExtent l="0" t="0" r="0" b="5080"/>
            <wp:docPr id="201464939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3735" cy="4166870"/>
                    </a:xfrm>
                    <a:prstGeom prst="rect">
                      <a:avLst/>
                    </a:prstGeom>
                    <a:noFill/>
                    <a:ln>
                      <a:noFill/>
                    </a:ln>
                  </pic:spPr>
                </pic:pic>
              </a:graphicData>
            </a:graphic>
          </wp:inline>
        </w:drawing>
      </w:r>
    </w:p>
    <w:p w14:paraId="1BEB6F20" w14:textId="77777777" w:rsidR="008A10E3" w:rsidRDefault="008A10E3"/>
    <w:p w14:paraId="13F095ED" w14:textId="77777777" w:rsidR="008A10E3" w:rsidRPr="008A10E3" w:rsidRDefault="008A10E3" w:rsidP="008A10E3">
      <w:pPr>
        <w:rPr>
          <w:b/>
          <w:bCs/>
        </w:rPr>
      </w:pPr>
      <w:proofErr w:type="gramStart"/>
      <w:r w:rsidRPr="008A10E3">
        <w:rPr>
          <w:b/>
          <w:bCs/>
        </w:rPr>
        <w:t>t</w:t>
      </w:r>
      <w:proofErr w:type="gramEnd"/>
      <w:r w:rsidRPr="008A10E3">
        <w:rPr>
          <w:b/>
          <w:bCs/>
        </w:rPr>
        <w:t xml:space="preserve">-SNE (t-Distributed </w:t>
      </w:r>
      <w:proofErr w:type="spellStart"/>
      <w:r w:rsidRPr="008A10E3">
        <w:rPr>
          <w:b/>
          <w:bCs/>
        </w:rPr>
        <w:t>Stochastic</w:t>
      </w:r>
      <w:proofErr w:type="spellEnd"/>
      <w:r w:rsidRPr="008A10E3">
        <w:rPr>
          <w:b/>
          <w:bCs/>
        </w:rPr>
        <w:t xml:space="preserve"> </w:t>
      </w:r>
      <w:proofErr w:type="spellStart"/>
      <w:r w:rsidRPr="008A10E3">
        <w:rPr>
          <w:b/>
          <w:bCs/>
        </w:rPr>
        <w:t>Neighbor</w:t>
      </w:r>
      <w:proofErr w:type="spellEnd"/>
      <w:r w:rsidRPr="008A10E3">
        <w:rPr>
          <w:b/>
          <w:bCs/>
        </w:rPr>
        <w:t xml:space="preserve"> </w:t>
      </w:r>
      <w:proofErr w:type="spellStart"/>
      <w:r w:rsidRPr="008A10E3">
        <w:rPr>
          <w:b/>
          <w:bCs/>
        </w:rPr>
        <w:t>Embedding</w:t>
      </w:r>
      <w:proofErr w:type="spellEnd"/>
      <w:r w:rsidRPr="008A10E3">
        <w:rPr>
          <w:b/>
          <w:bCs/>
        </w:rPr>
        <w:t>) Analizi ve Yorumu</w:t>
      </w:r>
    </w:p>
    <w:p w14:paraId="0FB45521" w14:textId="77777777" w:rsidR="008A10E3" w:rsidRPr="008A10E3" w:rsidRDefault="008A10E3" w:rsidP="008A10E3">
      <w:r w:rsidRPr="008A10E3">
        <w:t>PCA analizinde gözlemlenen genel büyüme trendini daha derinlemesine incelemek ve verideki yerel benzerlikleri (</w:t>
      </w:r>
      <w:proofErr w:type="spellStart"/>
      <w:r w:rsidRPr="008A10E3">
        <w:t>local</w:t>
      </w:r>
      <w:proofErr w:type="spellEnd"/>
      <w:r w:rsidRPr="008A10E3">
        <w:t xml:space="preserve"> </w:t>
      </w:r>
      <w:proofErr w:type="spellStart"/>
      <w:r w:rsidRPr="008A10E3">
        <w:t>similarities</w:t>
      </w:r>
      <w:proofErr w:type="spellEnd"/>
      <w:r w:rsidRPr="008A10E3">
        <w:t>) izole etmek amacıyla t-SNE algoritması uygulanmıştır. Bu analiz, 39 farklı kapasite değişkeninin oluşturduğu yüksek boyutlu uzaydaki "komşuluk" ilişkilerini koruyarak veriyi iki boyuta yansıtır.</w:t>
      </w:r>
    </w:p>
    <w:p w14:paraId="14329707" w14:textId="77777777" w:rsidR="008A10E3" w:rsidRPr="008A10E3" w:rsidRDefault="008A10E3" w:rsidP="008A10E3">
      <w:pPr>
        <w:rPr>
          <w:b/>
          <w:bCs/>
        </w:rPr>
      </w:pPr>
      <w:r w:rsidRPr="008A10E3">
        <w:rPr>
          <w:b/>
          <w:bCs/>
        </w:rPr>
        <w:t>1. Yerel Kümelenme ve "Enerji Adacıkları"</w:t>
      </w:r>
    </w:p>
    <w:p w14:paraId="73D89852" w14:textId="77777777" w:rsidR="008A10E3" w:rsidRPr="008A10E3" w:rsidRDefault="008A10E3" w:rsidP="008A10E3">
      <w:pPr>
        <w:numPr>
          <w:ilvl w:val="0"/>
          <w:numId w:val="6"/>
        </w:numPr>
      </w:pPr>
      <w:r w:rsidRPr="008A10E3">
        <w:rPr>
          <w:b/>
          <w:bCs/>
        </w:rPr>
        <w:t>Mikro Yapıların Tespiti:</w:t>
      </w:r>
      <w:r w:rsidRPr="008A10E3">
        <w:t xml:space="preserve"> t-SNE grafiğinde veri noktalarının belirli bölgelerde yoğunlaşarak "adacıklar" oluşturduğu görülmektedir. Bu durum, yenilenebilir enerji altyapılarının sadece zamana bağlı büyümediğini, aynı zamanda belirli </w:t>
      </w:r>
      <w:r w:rsidRPr="008A10E3">
        <w:rPr>
          <w:b/>
          <w:bCs/>
        </w:rPr>
        <w:t>teknoloji rejimlerine</w:t>
      </w:r>
      <w:r w:rsidRPr="008A10E3">
        <w:t xml:space="preserve"> ve </w:t>
      </w:r>
      <w:r w:rsidRPr="008A10E3">
        <w:rPr>
          <w:b/>
          <w:bCs/>
        </w:rPr>
        <w:t>politika benzerliklerine</w:t>
      </w:r>
      <w:r w:rsidRPr="008A10E3">
        <w:t xml:space="preserve"> göre keskin bir şekilde ayrıştığını kanıtlar.</w:t>
      </w:r>
    </w:p>
    <w:p w14:paraId="57586525" w14:textId="77777777" w:rsidR="008A10E3" w:rsidRPr="008A10E3" w:rsidRDefault="008A10E3" w:rsidP="008A10E3">
      <w:pPr>
        <w:numPr>
          <w:ilvl w:val="0"/>
          <w:numId w:val="6"/>
        </w:numPr>
      </w:pPr>
      <w:r w:rsidRPr="008A10E3">
        <w:rPr>
          <w:b/>
          <w:bCs/>
        </w:rPr>
        <w:t>Küme 2 (</w:t>
      </w:r>
      <w:proofErr w:type="gramStart"/>
      <w:r w:rsidRPr="008A10E3">
        <w:rPr>
          <w:b/>
          <w:bCs/>
        </w:rPr>
        <w:t>Yeşil -</w:t>
      </w:r>
      <w:proofErr w:type="gramEnd"/>
      <w:r w:rsidRPr="008A10E3">
        <w:rPr>
          <w:b/>
          <w:bCs/>
        </w:rPr>
        <w:t xml:space="preserve"> Merkezi Grup):</w:t>
      </w:r>
      <w:r w:rsidRPr="008A10E3">
        <w:t xml:space="preserve"> Grafiğin merkezinde yer alan yoğun ve toplu grup, altyapı özellikleri birbirine çok yakın olan ve benzer gelişim evrelerinden geçen bölgeleri temsil eder. Bu grup, "standart enerji dönüşüm modelini" yansıtan ana kütledir.</w:t>
      </w:r>
    </w:p>
    <w:p w14:paraId="752D10E2" w14:textId="77777777" w:rsidR="008A10E3" w:rsidRPr="008A10E3" w:rsidRDefault="008A10E3" w:rsidP="008A10E3">
      <w:pPr>
        <w:rPr>
          <w:b/>
          <w:bCs/>
        </w:rPr>
      </w:pPr>
      <w:r w:rsidRPr="008A10E3">
        <w:rPr>
          <w:b/>
          <w:bCs/>
        </w:rPr>
        <w:t>2. Enerji Profillerindeki Ayrışma</w:t>
      </w:r>
    </w:p>
    <w:p w14:paraId="5CEDA323" w14:textId="77777777" w:rsidR="008A10E3" w:rsidRPr="008A10E3" w:rsidRDefault="008A10E3" w:rsidP="008A10E3">
      <w:pPr>
        <w:numPr>
          <w:ilvl w:val="0"/>
          <w:numId w:val="7"/>
        </w:numPr>
      </w:pPr>
      <w:r w:rsidRPr="008A10E3">
        <w:rPr>
          <w:b/>
          <w:bCs/>
        </w:rPr>
        <w:lastRenderedPageBreak/>
        <w:t>Küme 0 (</w:t>
      </w:r>
      <w:proofErr w:type="gramStart"/>
      <w:r w:rsidRPr="008A10E3">
        <w:rPr>
          <w:b/>
          <w:bCs/>
        </w:rPr>
        <w:t>Mor -</w:t>
      </w:r>
      <w:proofErr w:type="gramEnd"/>
      <w:r w:rsidRPr="008A10E3">
        <w:rPr>
          <w:b/>
          <w:bCs/>
        </w:rPr>
        <w:t xml:space="preserve"> Heterojen Dağılım):</w:t>
      </w:r>
      <w:r w:rsidRPr="008A10E3">
        <w:t xml:space="preserve"> Grafiğin sol tarafında daha yaygın ve parçalı bir yapıda görülen mor küme, enerji portföylerinin daha değişken ve kendine özgü (spesifik) olduğu durumları simgeler. Bu bölgelerde standart modellerden sapmalar ve özgün yatırım stratejileri gözlemlenmektedir.</w:t>
      </w:r>
    </w:p>
    <w:p w14:paraId="23986B6E" w14:textId="77777777" w:rsidR="008A10E3" w:rsidRPr="008A10E3" w:rsidRDefault="008A10E3" w:rsidP="008A10E3">
      <w:pPr>
        <w:numPr>
          <w:ilvl w:val="0"/>
          <w:numId w:val="7"/>
        </w:numPr>
      </w:pPr>
      <w:r w:rsidRPr="008A10E3">
        <w:rPr>
          <w:b/>
          <w:bCs/>
        </w:rPr>
        <w:t>Küme 1 (Mavi) ve 3 (Sarı):</w:t>
      </w:r>
      <w:r w:rsidRPr="008A10E3">
        <w:t xml:space="preserve"> Birbirine daha yakın duran bu iki küme, muhtemelen teknolojik geçiş süreçlerinde birbirini takip eden veya benzer kaynak dağılımına (örneğin hibrit </w:t>
      </w:r>
      <w:proofErr w:type="gramStart"/>
      <w:r w:rsidRPr="008A10E3">
        <w:t>rüzgar</w:t>
      </w:r>
      <w:proofErr w:type="gramEnd"/>
      <w:r w:rsidRPr="008A10E3">
        <w:t xml:space="preserve"> ve güneş sistemleri) sahip olan profilleri temsil eder.</w:t>
      </w:r>
    </w:p>
    <w:p w14:paraId="295E1C26" w14:textId="77777777" w:rsidR="008A10E3" w:rsidRPr="008A10E3" w:rsidRDefault="008A10E3" w:rsidP="008A10E3">
      <w:pPr>
        <w:rPr>
          <w:b/>
          <w:bCs/>
        </w:rPr>
      </w:pPr>
      <w:r w:rsidRPr="008A10E3">
        <w:rPr>
          <w:b/>
          <w:bCs/>
        </w:rPr>
        <w:t>3. PCA vs. t-SNE Karşılaştırması ve Model Katkısı</w:t>
      </w:r>
    </w:p>
    <w:p w14:paraId="1A6AB8B2" w14:textId="77777777" w:rsidR="008A10E3" w:rsidRPr="008A10E3" w:rsidRDefault="008A10E3" w:rsidP="008A10E3">
      <w:pPr>
        <w:numPr>
          <w:ilvl w:val="0"/>
          <w:numId w:val="8"/>
        </w:numPr>
      </w:pPr>
      <w:r w:rsidRPr="008A10E3">
        <w:rPr>
          <w:b/>
          <w:bCs/>
        </w:rPr>
        <w:t>Doğrusal Olmayan İlişkiler:</w:t>
      </w:r>
      <w:r w:rsidRPr="008A10E3">
        <w:t xml:space="preserve"> </w:t>
      </w:r>
      <w:proofErr w:type="spellStart"/>
      <w:r w:rsidRPr="008A10E3">
        <w:t>PCA'nın</w:t>
      </w:r>
      <w:proofErr w:type="spellEnd"/>
      <w:r w:rsidRPr="008A10E3">
        <w:t xml:space="preserve"> bir "yay" hattı üzerinde gösterdiği veriler, t-SNE ile daha belirgin karakteristik gruplara ayrılmıştır. Bu, raporun 3.3 bölümünde bahsedilen "bölgesel enerji kümelerini tanımlama" hedefi için en güçlü görsel kanıttır.</w:t>
      </w:r>
    </w:p>
    <w:p w14:paraId="0B3C44CE" w14:textId="77777777" w:rsidR="008A10E3" w:rsidRPr="008A10E3" w:rsidRDefault="008A10E3" w:rsidP="008A10E3">
      <w:pPr>
        <w:numPr>
          <w:ilvl w:val="0"/>
          <w:numId w:val="8"/>
        </w:numPr>
      </w:pPr>
      <w:proofErr w:type="spellStart"/>
      <w:r w:rsidRPr="008A10E3">
        <w:rPr>
          <w:b/>
          <w:bCs/>
        </w:rPr>
        <w:t>XGBoost</w:t>
      </w:r>
      <w:proofErr w:type="spellEnd"/>
      <w:r w:rsidRPr="008A10E3">
        <w:rPr>
          <w:b/>
          <w:bCs/>
        </w:rPr>
        <w:t xml:space="preserve"> Modeli İçin Önemi:</w:t>
      </w:r>
      <w:r w:rsidRPr="008A10E3">
        <w:t xml:space="preserve"> Bu kümeleme sonuçları, regresyon modelinin (</w:t>
      </w:r>
      <w:proofErr w:type="spellStart"/>
      <w:r w:rsidRPr="008A10E3">
        <w:t>XGBoost</w:t>
      </w:r>
      <w:proofErr w:type="spellEnd"/>
      <w:r w:rsidRPr="008A10E3">
        <w:t>) performansını analiz etmek için kullanılacaktır. Noktaların iç içe geçtiği (karışık) bölgeler tahmin zorluğunu simgelerken, net ayrılan adacıklar modelin yüksek doğrulukla tahmin yapabileceği stabil bölgeleri işaret eder.</w:t>
      </w:r>
    </w:p>
    <w:p w14:paraId="165269C9" w14:textId="77777777" w:rsidR="008A10E3" w:rsidRDefault="008A10E3"/>
    <w:sectPr w:rsidR="008A10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0249"/>
    <w:multiLevelType w:val="multilevel"/>
    <w:tmpl w:val="CAFC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66CD7"/>
    <w:multiLevelType w:val="multilevel"/>
    <w:tmpl w:val="69CE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7066F"/>
    <w:multiLevelType w:val="multilevel"/>
    <w:tmpl w:val="FED0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C1094"/>
    <w:multiLevelType w:val="multilevel"/>
    <w:tmpl w:val="5CD0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97196"/>
    <w:multiLevelType w:val="multilevel"/>
    <w:tmpl w:val="D5D2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132AE3"/>
    <w:multiLevelType w:val="multilevel"/>
    <w:tmpl w:val="1BA8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76256D"/>
    <w:multiLevelType w:val="multilevel"/>
    <w:tmpl w:val="238E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F43C3D"/>
    <w:multiLevelType w:val="multilevel"/>
    <w:tmpl w:val="4F12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088576">
    <w:abstractNumId w:val="7"/>
  </w:num>
  <w:num w:numId="2" w16cid:durableId="1626735797">
    <w:abstractNumId w:val="5"/>
  </w:num>
  <w:num w:numId="3" w16cid:durableId="724647755">
    <w:abstractNumId w:val="0"/>
  </w:num>
  <w:num w:numId="4" w16cid:durableId="109982356">
    <w:abstractNumId w:val="6"/>
  </w:num>
  <w:num w:numId="5" w16cid:durableId="45029049">
    <w:abstractNumId w:val="3"/>
  </w:num>
  <w:num w:numId="6" w16cid:durableId="2029062141">
    <w:abstractNumId w:val="1"/>
  </w:num>
  <w:num w:numId="7" w16cid:durableId="1548225903">
    <w:abstractNumId w:val="4"/>
  </w:num>
  <w:num w:numId="8" w16cid:durableId="3227083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844"/>
    <w:rsid w:val="00685357"/>
    <w:rsid w:val="008A10E3"/>
    <w:rsid w:val="00960844"/>
    <w:rsid w:val="00A66C38"/>
    <w:rsid w:val="00E560E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2117D"/>
  <w15:chartTrackingRefBased/>
  <w15:docId w15:val="{0237BF42-E982-448C-AF99-833F9C67D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608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608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6084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6084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6084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6084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6084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6084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6084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6084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6084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6084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6084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6084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6084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6084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6084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60844"/>
    <w:rPr>
      <w:rFonts w:eastAsiaTheme="majorEastAsia" w:cstheme="majorBidi"/>
      <w:color w:val="272727" w:themeColor="text1" w:themeTint="D8"/>
    </w:rPr>
  </w:style>
  <w:style w:type="paragraph" w:styleId="KonuBal">
    <w:name w:val="Title"/>
    <w:basedOn w:val="Normal"/>
    <w:next w:val="Normal"/>
    <w:link w:val="KonuBalChar"/>
    <w:uiPriority w:val="10"/>
    <w:qFormat/>
    <w:rsid w:val="00960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6084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6084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6084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6084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60844"/>
    <w:rPr>
      <w:i/>
      <w:iCs/>
      <w:color w:val="404040" w:themeColor="text1" w:themeTint="BF"/>
    </w:rPr>
  </w:style>
  <w:style w:type="paragraph" w:styleId="ListeParagraf">
    <w:name w:val="List Paragraph"/>
    <w:basedOn w:val="Normal"/>
    <w:uiPriority w:val="34"/>
    <w:qFormat/>
    <w:rsid w:val="00960844"/>
    <w:pPr>
      <w:ind w:left="720"/>
      <w:contextualSpacing/>
    </w:pPr>
  </w:style>
  <w:style w:type="character" w:styleId="GlVurgulama">
    <w:name w:val="Intense Emphasis"/>
    <w:basedOn w:val="VarsaylanParagrafYazTipi"/>
    <w:uiPriority w:val="21"/>
    <w:qFormat/>
    <w:rsid w:val="00960844"/>
    <w:rPr>
      <w:i/>
      <w:iCs/>
      <w:color w:val="0F4761" w:themeColor="accent1" w:themeShade="BF"/>
    </w:rPr>
  </w:style>
  <w:style w:type="paragraph" w:styleId="GlAlnt">
    <w:name w:val="Intense Quote"/>
    <w:basedOn w:val="Normal"/>
    <w:next w:val="Normal"/>
    <w:link w:val="GlAlntChar"/>
    <w:uiPriority w:val="30"/>
    <w:qFormat/>
    <w:rsid w:val="009608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60844"/>
    <w:rPr>
      <w:i/>
      <w:iCs/>
      <w:color w:val="0F4761" w:themeColor="accent1" w:themeShade="BF"/>
    </w:rPr>
  </w:style>
  <w:style w:type="character" w:styleId="GlBavuru">
    <w:name w:val="Intense Reference"/>
    <w:basedOn w:val="VarsaylanParagrafYazTipi"/>
    <w:uiPriority w:val="32"/>
    <w:qFormat/>
    <w:rsid w:val="009608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743</Words>
  <Characters>4241</Characters>
  <Application>Microsoft Office Word</Application>
  <DocSecurity>0</DocSecurity>
  <Lines>35</Lines>
  <Paragraphs>9</Paragraphs>
  <ScaleCrop>false</ScaleCrop>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Şah Zengin</dc:creator>
  <cp:keywords/>
  <dc:description/>
  <cp:lastModifiedBy>Mehmet Şah Zengin</cp:lastModifiedBy>
  <cp:revision>2</cp:revision>
  <dcterms:created xsi:type="dcterms:W3CDTF">2026-05-18T15:48:00Z</dcterms:created>
  <dcterms:modified xsi:type="dcterms:W3CDTF">2026-05-18T15:53:00Z</dcterms:modified>
</cp:coreProperties>
</file>